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3DFE4">
      <w:pPr>
        <w:jc w:val="center"/>
        <w:rPr>
          <w:rFonts w:hint="eastAsia" w:ascii="华文仿宋" w:hAnsi="华文仿宋" w:eastAsia="华文仿宋" w:cs="华文仿宋"/>
          <w:b/>
          <w:bCs/>
          <w:sz w:val="36"/>
          <w:szCs w:val="36"/>
          <w:lang w:val="en-US" w:eastAsia="zh-CN"/>
        </w:rPr>
      </w:pPr>
      <w:r>
        <w:rPr>
          <w:rFonts w:hint="eastAsia" w:ascii="华文仿宋" w:hAnsi="华文仿宋" w:eastAsia="华文仿宋" w:cs="华文仿宋"/>
          <w:b/>
          <w:bCs/>
          <w:sz w:val="36"/>
          <w:szCs w:val="36"/>
          <w:lang w:val="en-US" w:eastAsia="zh-CN"/>
        </w:rPr>
        <w:t>信息技术管理体系认证申请资料</w:t>
      </w:r>
    </w:p>
    <w:p w14:paraId="521C30AF">
      <w:pPr>
        <w:jc w:val="center"/>
        <w:rPr>
          <w:rFonts w:hint="eastAsia" w:ascii="华文仿宋" w:hAnsi="华文仿宋" w:eastAsia="华文仿宋" w:cs="华文仿宋"/>
          <w:b/>
          <w:bCs/>
          <w:sz w:val="36"/>
          <w:szCs w:val="36"/>
          <w:lang w:val="en-US" w:eastAsia="zh-CN"/>
        </w:rPr>
      </w:pPr>
    </w:p>
    <w:p w14:paraId="572D8CC7">
      <w:pPr>
        <w:bidi w:val="0"/>
        <w:rPr>
          <w:rFonts w:hint="eastAsia" w:ascii="华文仿宋" w:hAnsi="华文仿宋" w:eastAsia="华文仿宋" w:cs="华文仿宋"/>
          <w:sz w:val="28"/>
          <w:szCs w:val="36"/>
          <w:lang w:val="en-US" w:eastAsia="zh-CN"/>
        </w:rPr>
      </w:pPr>
      <w:r>
        <w:rPr>
          <w:rFonts w:hint="eastAsia" w:ascii="华文仿宋" w:hAnsi="华文仿宋" w:eastAsia="华文仿宋" w:cs="华文仿宋"/>
          <w:sz w:val="28"/>
          <w:szCs w:val="36"/>
          <w:lang w:val="en-US" w:eastAsia="zh-CN"/>
        </w:rPr>
        <w:t>1附表二 保密和敏感信息声明表；</w:t>
      </w:r>
    </w:p>
    <w:p w14:paraId="6C526F51">
      <w:pPr>
        <w:bidi w:val="0"/>
        <w:rPr>
          <w:rFonts w:hint="eastAsia" w:ascii="华文仿宋" w:hAnsi="华文仿宋" w:eastAsia="华文仿宋" w:cs="华文仿宋"/>
          <w:sz w:val="28"/>
          <w:szCs w:val="36"/>
          <w:lang w:val="en-US" w:eastAsia="zh-CN"/>
        </w:rPr>
      </w:pPr>
      <w:r>
        <w:rPr>
          <w:rFonts w:hint="eastAsia" w:ascii="华文仿宋" w:hAnsi="华文仿宋" w:eastAsia="华文仿宋" w:cs="华文仿宋"/>
          <w:sz w:val="28"/>
          <w:szCs w:val="36"/>
          <w:lang w:val="en-US" w:eastAsia="zh-CN"/>
        </w:rPr>
        <w:t>2附表三 信息技术服务管理体系认证客户基本信息；</w:t>
      </w:r>
      <w:bookmarkStart w:id="2" w:name="_GoBack"/>
      <w:bookmarkEnd w:id="2"/>
    </w:p>
    <w:p w14:paraId="10E87C0E">
      <w:pPr>
        <w:bidi w:val="0"/>
        <w:rPr>
          <w:rFonts w:hint="eastAsia" w:ascii="华文仿宋" w:hAnsi="华文仿宋" w:eastAsia="华文仿宋" w:cs="华文仿宋"/>
          <w:sz w:val="28"/>
          <w:szCs w:val="36"/>
          <w:lang w:val="en-US" w:eastAsia="zh-CN"/>
        </w:rPr>
      </w:pPr>
      <w:r>
        <w:rPr>
          <w:rFonts w:hint="eastAsia" w:ascii="华文仿宋" w:hAnsi="华文仿宋" w:eastAsia="华文仿宋" w:cs="华文仿宋"/>
          <w:sz w:val="28"/>
          <w:szCs w:val="36"/>
          <w:lang w:val="en-US" w:eastAsia="zh-CN"/>
        </w:rPr>
        <w:t>3附表四 基于ISO/IEC20000-1的服务管理体系服务风险表；</w:t>
      </w:r>
    </w:p>
    <w:p w14:paraId="5915C408">
      <w:pPr>
        <w:bidi w:val="0"/>
        <w:rPr>
          <w:rFonts w:hint="eastAsia" w:ascii="华文仿宋" w:hAnsi="华文仿宋" w:eastAsia="华文仿宋" w:cs="华文仿宋"/>
          <w:sz w:val="28"/>
          <w:szCs w:val="36"/>
          <w:lang w:val="en-US" w:eastAsia="zh-CN"/>
        </w:rPr>
      </w:pPr>
      <w:r>
        <w:rPr>
          <w:rFonts w:hint="eastAsia" w:ascii="华文仿宋" w:hAnsi="华文仿宋" w:eastAsia="华文仿宋" w:cs="华文仿宋"/>
          <w:sz w:val="28"/>
          <w:szCs w:val="36"/>
          <w:lang w:val="en-US" w:eastAsia="zh-CN"/>
        </w:rPr>
        <w:t>4适用时，提交临时场所（临时服务点）清单。</w:t>
      </w:r>
    </w:p>
    <w:p w14:paraId="77806567">
      <w:pPr>
        <w:spacing w:before="240" w:line="300" w:lineRule="auto"/>
        <w:rPr>
          <w:rFonts w:hint="eastAsia" w:ascii="华文仿宋" w:hAnsi="华文仿宋" w:eastAsia="华文仿宋" w:cs="华文仿宋"/>
          <w:b/>
          <w:sz w:val="21"/>
        </w:rPr>
      </w:pPr>
      <w:r>
        <w:rPr>
          <w:rFonts w:hint="eastAsia" w:ascii="华文仿宋" w:hAnsi="华文仿宋" w:eastAsia="华文仿宋" w:cs="华文仿宋"/>
          <w:b/>
          <w:sz w:val="21"/>
        </w:rPr>
        <w:t>附表二：保密和敏感信息声明表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686"/>
        <w:gridCol w:w="4973"/>
      </w:tblGrid>
      <w:tr w14:paraId="636D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3518B410">
            <w:pPr>
              <w:widowControl w:val="0"/>
              <w:spacing w:before="25" w:after="25"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序号</w:t>
            </w:r>
          </w:p>
        </w:tc>
        <w:tc>
          <w:tcPr>
            <w:tcW w:w="3686" w:type="dxa"/>
            <w:shd w:val="clear" w:color="auto" w:fill="auto"/>
          </w:tcPr>
          <w:p w14:paraId="23A5ABC3">
            <w:pPr>
              <w:widowControl w:val="0"/>
              <w:spacing w:before="25" w:after="25"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保密和敏感信息资产和（或）区域</w:t>
            </w:r>
          </w:p>
        </w:tc>
        <w:tc>
          <w:tcPr>
            <w:tcW w:w="4973" w:type="dxa"/>
            <w:shd w:val="clear" w:color="auto" w:fill="auto"/>
          </w:tcPr>
          <w:p w14:paraId="77FC8A8C">
            <w:pPr>
              <w:widowControl w:val="0"/>
              <w:spacing w:before="25" w:after="25"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认证机构是否可接触及接触要求</w:t>
            </w:r>
          </w:p>
        </w:tc>
      </w:tr>
      <w:tr w14:paraId="5ACF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02BE7F9A">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71AC8A7C">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22878917">
            <w:pPr>
              <w:widowControl w:val="0"/>
              <w:spacing w:before="25" w:after="25" w:line="240" w:lineRule="auto"/>
              <w:rPr>
                <w:rFonts w:hint="eastAsia" w:ascii="华文仿宋" w:hAnsi="华文仿宋" w:eastAsia="华文仿宋" w:cs="华文仿宋"/>
                <w:color w:val="000000"/>
                <w:sz w:val="21"/>
                <w:szCs w:val="21"/>
              </w:rPr>
            </w:pPr>
          </w:p>
        </w:tc>
      </w:tr>
      <w:tr w14:paraId="2AB6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2D7538AE">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21BA3E4E">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4735CF27">
            <w:pPr>
              <w:widowControl w:val="0"/>
              <w:spacing w:before="25" w:after="25" w:line="240" w:lineRule="auto"/>
              <w:rPr>
                <w:rFonts w:hint="eastAsia" w:ascii="华文仿宋" w:hAnsi="华文仿宋" w:eastAsia="华文仿宋" w:cs="华文仿宋"/>
                <w:color w:val="000000"/>
                <w:sz w:val="21"/>
                <w:szCs w:val="21"/>
              </w:rPr>
            </w:pPr>
          </w:p>
        </w:tc>
      </w:tr>
      <w:tr w14:paraId="2C87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65614C2B">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70D27BA7">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50DC8D14">
            <w:pPr>
              <w:widowControl w:val="0"/>
              <w:spacing w:before="25" w:after="25" w:line="240" w:lineRule="auto"/>
              <w:rPr>
                <w:rFonts w:hint="eastAsia" w:ascii="华文仿宋" w:hAnsi="华文仿宋" w:eastAsia="华文仿宋" w:cs="华文仿宋"/>
                <w:color w:val="000000"/>
                <w:sz w:val="21"/>
                <w:szCs w:val="21"/>
              </w:rPr>
            </w:pPr>
          </w:p>
        </w:tc>
      </w:tr>
      <w:tr w14:paraId="0A36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2B15DF02">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6EC2728A">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54CE1179">
            <w:pPr>
              <w:widowControl w:val="0"/>
              <w:spacing w:before="25" w:after="25" w:line="240" w:lineRule="auto"/>
              <w:rPr>
                <w:rFonts w:hint="eastAsia" w:ascii="华文仿宋" w:hAnsi="华文仿宋" w:eastAsia="华文仿宋" w:cs="华文仿宋"/>
                <w:color w:val="000000"/>
                <w:sz w:val="21"/>
                <w:szCs w:val="21"/>
              </w:rPr>
            </w:pPr>
          </w:p>
        </w:tc>
      </w:tr>
      <w:tr w14:paraId="197C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5610B88E">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2A9FCB05">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0218A090">
            <w:pPr>
              <w:widowControl w:val="0"/>
              <w:spacing w:before="25" w:after="25" w:line="240" w:lineRule="auto"/>
              <w:rPr>
                <w:rFonts w:hint="eastAsia" w:ascii="华文仿宋" w:hAnsi="华文仿宋" w:eastAsia="华文仿宋" w:cs="华文仿宋"/>
                <w:color w:val="000000"/>
                <w:sz w:val="21"/>
                <w:szCs w:val="21"/>
              </w:rPr>
            </w:pPr>
          </w:p>
        </w:tc>
      </w:tr>
      <w:tr w14:paraId="5978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350B396B">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7263E1BF">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261914BD">
            <w:pPr>
              <w:widowControl w:val="0"/>
              <w:spacing w:before="25" w:after="25" w:line="240" w:lineRule="auto"/>
              <w:rPr>
                <w:rFonts w:hint="eastAsia" w:ascii="华文仿宋" w:hAnsi="华文仿宋" w:eastAsia="华文仿宋" w:cs="华文仿宋"/>
                <w:color w:val="000000"/>
                <w:sz w:val="21"/>
                <w:szCs w:val="21"/>
              </w:rPr>
            </w:pPr>
          </w:p>
        </w:tc>
      </w:tr>
      <w:tr w14:paraId="2730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shd w:val="clear" w:color="auto" w:fill="auto"/>
          </w:tcPr>
          <w:p w14:paraId="4C001EC0">
            <w:pPr>
              <w:widowControl w:val="0"/>
              <w:spacing w:before="25" w:after="25" w:line="240" w:lineRule="auto"/>
              <w:jc w:val="center"/>
              <w:rPr>
                <w:rFonts w:hint="eastAsia" w:ascii="华文仿宋" w:hAnsi="华文仿宋" w:eastAsia="华文仿宋" w:cs="华文仿宋"/>
                <w:color w:val="000000"/>
                <w:sz w:val="21"/>
                <w:szCs w:val="21"/>
              </w:rPr>
            </w:pPr>
          </w:p>
        </w:tc>
        <w:tc>
          <w:tcPr>
            <w:tcW w:w="3686" w:type="dxa"/>
            <w:shd w:val="clear" w:color="auto" w:fill="auto"/>
          </w:tcPr>
          <w:p w14:paraId="72F13838">
            <w:pPr>
              <w:widowControl w:val="0"/>
              <w:spacing w:before="25" w:after="25" w:line="240" w:lineRule="auto"/>
              <w:rPr>
                <w:rFonts w:hint="eastAsia" w:ascii="华文仿宋" w:hAnsi="华文仿宋" w:eastAsia="华文仿宋" w:cs="华文仿宋"/>
                <w:color w:val="000000"/>
                <w:sz w:val="21"/>
                <w:szCs w:val="21"/>
              </w:rPr>
            </w:pPr>
          </w:p>
        </w:tc>
        <w:tc>
          <w:tcPr>
            <w:tcW w:w="4973" w:type="dxa"/>
            <w:shd w:val="clear" w:color="auto" w:fill="auto"/>
          </w:tcPr>
          <w:p w14:paraId="5B46EFBA">
            <w:pPr>
              <w:widowControl w:val="0"/>
              <w:spacing w:before="25" w:after="25" w:line="240" w:lineRule="auto"/>
              <w:rPr>
                <w:rFonts w:hint="eastAsia" w:ascii="华文仿宋" w:hAnsi="华文仿宋" w:eastAsia="华文仿宋" w:cs="华文仿宋"/>
                <w:color w:val="000000"/>
                <w:sz w:val="21"/>
                <w:szCs w:val="21"/>
              </w:rPr>
            </w:pPr>
          </w:p>
        </w:tc>
      </w:tr>
    </w:tbl>
    <w:p w14:paraId="10FB06DD">
      <w:pPr>
        <w:rPr>
          <w:rFonts w:hint="eastAsia" w:ascii="华文仿宋" w:hAnsi="华文仿宋" w:eastAsia="华文仿宋" w:cs="华文仿宋"/>
          <w:sz w:val="21"/>
          <w:szCs w:val="21"/>
        </w:rPr>
      </w:pPr>
      <w:r>
        <w:rPr>
          <w:rFonts w:hint="eastAsia" w:ascii="华文仿宋" w:hAnsi="华文仿宋" w:eastAsia="华文仿宋" w:cs="华文仿宋"/>
          <w:sz w:val="21"/>
          <w:szCs w:val="21"/>
        </w:rPr>
        <w:t>备注：</w:t>
      </w:r>
    </w:p>
    <w:p w14:paraId="2E2A5B09">
      <w:pPr>
        <w:pStyle w:val="7"/>
        <w:numPr>
          <w:ilvl w:val="3"/>
          <w:numId w:val="1"/>
        </w:numPr>
        <w:ind w:left="426" w:firstLineChars="0"/>
        <w:rPr>
          <w:rFonts w:hint="eastAsia" w:ascii="华文仿宋" w:hAnsi="华文仿宋" w:eastAsia="华文仿宋" w:cs="华文仿宋"/>
          <w:sz w:val="21"/>
          <w:szCs w:val="21"/>
        </w:rPr>
      </w:pPr>
      <w:r>
        <w:rPr>
          <w:rFonts w:hint="eastAsia" w:ascii="华文仿宋" w:hAnsi="华文仿宋" w:eastAsia="华文仿宋" w:cs="华文仿宋"/>
          <w:sz w:val="21"/>
          <w:szCs w:val="21"/>
        </w:rPr>
        <w:t>如果因未获得组织的允许或无法满足适用的要求而不能接触相关信息资产，可能导致终止审核、缩小审核和认证的范围等结果。</w:t>
      </w:r>
    </w:p>
    <w:p w14:paraId="6B30CD78">
      <w:pPr>
        <w:pStyle w:val="7"/>
        <w:numPr>
          <w:ilvl w:val="3"/>
          <w:numId w:val="1"/>
        </w:numPr>
        <w:ind w:left="426" w:firstLineChars="0"/>
        <w:rPr>
          <w:rFonts w:hint="eastAsia" w:ascii="华文仿宋" w:hAnsi="华文仿宋" w:eastAsia="华文仿宋" w:cs="华文仿宋"/>
          <w:sz w:val="21"/>
          <w:szCs w:val="21"/>
        </w:rPr>
      </w:pPr>
      <w:r>
        <w:rPr>
          <w:rFonts w:hint="eastAsia" w:ascii="华文仿宋" w:hAnsi="华文仿宋" w:eastAsia="华文仿宋" w:cs="华文仿宋"/>
          <w:sz w:val="21"/>
          <w:szCs w:val="21"/>
        </w:rPr>
        <w:t>如果组织事先没有禁止接触某一信息资产，或未告知应满足的要求，在认证过程中发现我公司不具备接触该信息资产的资格和条件，我公司将告知组织，此种情况可能导致终止审核、缩小审核和认证的范围等结果。</w:t>
      </w:r>
    </w:p>
    <w:p w14:paraId="5B2B7108">
      <w:pPr>
        <w:pStyle w:val="7"/>
        <w:numPr>
          <w:ilvl w:val="3"/>
          <w:numId w:val="1"/>
        </w:numPr>
        <w:ind w:left="426" w:firstLineChars="0"/>
        <w:rPr>
          <w:rFonts w:hint="eastAsia" w:ascii="华文仿宋" w:hAnsi="华文仿宋" w:eastAsia="华文仿宋" w:cs="华文仿宋"/>
        </w:rPr>
      </w:pPr>
      <w:r>
        <w:rPr>
          <w:rFonts w:hint="eastAsia" w:ascii="华文仿宋" w:hAnsi="华文仿宋" w:eastAsia="华文仿宋" w:cs="华文仿宋"/>
          <w:sz w:val="21"/>
          <w:szCs w:val="21"/>
        </w:rPr>
        <w:t>接触要求：法律要求、相关方要求、组织自身要求。</w:t>
      </w:r>
    </w:p>
    <w:p w14:paraId="51279B50">
      <w:pPr>
        <w:rPr>
          <w:rFonts w:hint="eastAsia" w:ascii="华文仿宋" w:hAnsi="华文仿宋" w:eastAsia="华文仿宋" w:cs="华文仿宋"/>
          <w:b/>
          <w:bCs/>
          <w:sz w:val="36"/>
          <w:szCs w:val="36"/>
          <w:lang w:val="en-US" w:eastAsia="zh-CN"/>
        </w:rPr>
      </w:pPr>
      <w:r>
        <w:rPr>
          <w:rFonts w:hint="eastAsia" w:ascii="华文仿宋" w:hAnsi="华文仿宋" w:eastAsia="华文仿宋" w:cs="华文仿宋"/>
          <w:b/>
          <w:bCs/>
          <w:sz w:val="36"/>
          <w:szCs w:val="36"/>
          <w:lang w:val="en-US" w:eastAsia="zh-CN"/>
        </w:rPr>
        <w:br w:type="page"/>
      </w:r>
    </w:p>
    <w:p w14:paraId="48D8231B">
      <w:pPr>
        <w:spacing w:before="240" w:line="300" w:lineRule="auto"/>
        <w:rPr>
          <w:rFonts w:hint="eastAsia" w:ascii="华文仿宋" w:hAnsi="华文仿宋" w:eastAsia="华文仿宋" w:cs="华文仿宋"/>
          <w:b/>
          <w:sz w:val="21"/>
        </w:rPr>
      </w:pPr>
      <w:r>
        <w:rPr>
          <w:rFonts w:hint="eastAsia" w:ascii="华文仿宋" w:hAnsi="华文仿宋" w:eastAsia="华文仿宋" w:cs="华文仿宋"/>
          <w:b/>
          <w:sz w:val="21"/>
        </w:rPr>
        <w:t>附表三：信息技术服务管理体系认证客户基本信息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9"/>
        <w:gridCol w:w="709"/>
        <w:gridCol w:w="2274"/>
        <w:gridCol w:w="2268"/>
        <w:gridCol w:w="1136"/>
      </w:tblGrid>
      <w:tr w14:paraId="2199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969" w:type="dxa"/>
            <w:vMerge w:val="restart"/>
            <w:shd w:val="clear" w:color="auto" w:fill="auto"/>
            <w:vAlign w:val="center"/>
          </w:tcPr>
          <w:p w14:paraId="0A35F90E">
            <w:pPr>
              <w:spacing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服务级别协议（SLA）数量</w:t>
            </w:r>
          </w:p>
        </w:tc>
        <w:tc>
          <w:tcPr>
            <w:tcW w:w="709" w:type="dxa"/>
            <w:shd w:val="clear" w:color="auto" w:fill="auto"/>
            <w:vAlign w:val="center"/>
          </w:tcPr>
          <w:p w14:paraId="19AC74EB">
            <w:pPr>
              <w:spacing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序号</w:t>
            </w:r>
          </w:p>
        </w:tc>
        <w:tc>
          <w:tcPr>
            <w:tcW w:w="2274" w:type="dxa"/>
            <w:shd w:val="clear" w:color="auto" w:fill="auto"/>
            <w:vAlign w:val="center"/>
          </w:tcPr>
          <w:p w14:paraId="1C03DA49">
            <w:pPr>
              <w:spacing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服务名称</w:t>
            </w:r>
          </w:p>
        </w:tc>
        <w:tc>
          <w:tcPr>
            <w:tcW w:w="2268" w:type="dxa"/>
            <w:shd w:val="clear" w:color="auto" w:fill="auto"/>
            <w:vAlign w:val="center"/>
          </w:tcPr>
          <w:p w14:paraId="460DB573">
            <w:pPr>
              <w:spacing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服务对象</w:t>
            </w:r>
          </w:p>
        </w:tc>
        <w:tc>
          <w:tcPr>
            <w:tcW w:w="1136" w:type="dxa"/>
            <w:shd w:val="clear" w:color="auto" w:fill="auto"/>
            <w:vAlign w:val="center"/>
          </w:tcPr>
          <w:p w14:paraId="7E8BB10A">
            <w:pPr>
              <w:pStyle w:val="2"/>
              <w:jc w:val="center"/>
              <w:rPr>
                <w:rFonts w:hint="eastAsia" w:ascii="华文仿宋" w:hAnsi="华文仿宋" w:eastAsia="华文仿宋" w:cs="华文仿宋"/>
                <w:b/>
                <w:color w:val="000000"/>
                <w:kern w:val="2"/>
                <w:szCs w:val="21"/>
              </w:rPr>
            </w:pPr>
            <w:r>
              <w:rPr>
                <w:rFonts w:hint="eastAsia" w:ascii="华文仿宋" w:hAnsi="华文仿宋" w:eastAsia="华文仿宋" w:cs="华文仿宋"/>
                <w:b/>
                <w:color w:val="000000"/>
                <w:kern w:val="2"/>
                <w:szCs w:val="21"/>
              </w:rPr>
              <w:t>数量</w:t>
            </w:r>
          </w:p>
        </w:tc>
      </w:tr>
      <w:tr w14:paraId="4A84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969" w:type="dxa"/>
            <w:vMerge w:val="continue"/>
            <w:shd w:val="clear" w:color="auto" w:fill="auto"/>
            <w:vAlign w:val="center"/>
          </w:tcPr>
          <w:p w14:paraId="1418B8EB">
            <w:pPr>
              <w:spacing w:line="240" w:lineRule="auto"/>
              <w:jc w:val="center"/>
              <w:rPr>
                <w:rFonts w:hint="eastAsia" w:ascii="华文仿宋" w:hAnsi="华文仿宋" w:eastAsia="华文仿宋" w:cs="华文仿宋"/>
                <w:b/>
                <w:color w:val="000000"/>
                <w:sz w:val="21"/>
                <w:szCs w:val="21"/>
              </w:rPr>
            </w:pPr>
          </w:p>
        </w:tc>
        <w:tc>
          <w:tcPr>
            <w:tcW w:w="709" w:type="dxa"/>
            <w:shd w:val="clear" w:color="auto" w:fill="auto"/>
            <w:vAlign w:val="center"/>
          </w:tcPr>
          <w:p w14:paraId="2913CA5B">
            <w:pPr>
              <w:spacing w:line="240" w:lineRule="auto"/>
              <w:jc w:val="center"/>
              <w:rPr>
                <w:rFonts w:hint="eastAsia" w:ascii="华文仿宋" w:hAnsi="华文仿宋" w:eastAsia="华文仿宋" w:cs="华文仿宋"/>
                <w:color w:val="000000"/>
                <w:sz w:val="21"/>
                <w:szCs w:val="21"/>
              </w:rPr>
            </w:pPr>
          </w:p>
        </w:tc>
        <w:tc>
          <w:tcPr>
            <w:tcW w:w="2274" w:type="dxa"/>
            <w:shd w:val="clear" w:color="auto" w:fill="auto"/>
            <w:vAlign w:val="center"/>
          </w:tcPr>
          <w:p w14:paraId="549D5D17">
            <w:pPr>
              <w:spacing w:line="240" w:lineRule="auto"/>
              <w:jc w:val="center"/>
              <w:rPr>
                <w:rFonts w:hint="eastAsia" w:ascii="华文仿宋" w:hAnsi="华文仿宋" w:eastAsia="华文仿宋" w:cs="华文仿宋"/>
                <w:color w:val="000000"/>
                <w:sz w:val="21"/>
                <w:szCs w:val="21"/>
              </w:rPr>
            </w:pPr>
          </w:p>
        </w:tc>
        <w:tc>
          <w:tcPr>
            <w:tcW w:w="2268" w:type="dxa"/>
            <w:shd w:val="clear" w:color="auto" w:fill="auto"/>
            <w:vAlign w:val="center"/>
          </w:tcPr>
          <w:p w14:paraId="27E46C02">
            <w:pPr>
              <w:spacing w:line="240" w:lineRule="auto"/>
              <w:jc w:val="center"/>
              <w:rPr>
                <w:rFonts w:hint="eastAsia" w:ascii="华文仿宋" w:hAnsi="华文仿宋" w:eastAsia="华文仿宋" w:cs="华文仿宋"/>
                <w:color w:val="000000"/>
                <w:sz w:val="21"/>
                <w:szCs w:val="21"/>
              </w:rPr>
            </w:pPr>
          </w:p>
        </w:tc>
        <w:tc>
          <w:tcPr>
            <w:tcW w:w="1136" w:type="dxa"/>
            <w:shd w:val="clear" w:color="auto" w:fill="auto"/>
            <w:vAlign w:val="center"/>
          </w:tcPr>
          <w:p w14:paraId="552CD0FA">
            <w:pPr>
              <w:spacing w:line="240" w:lineRule="auto"/>
              <w:jc w:val="center"/>
              <w:rPr>
                <w:rFonts w:hint="eastAsia" w:ascii="华文仿宋" w:hAnsi="华文仿宋" w:eastAsia="华文仿宋" w:cs="华文仿宋"/>
                <w:color w:val="000000"/>
                <w:sz w:val="21"/>
                <w:szCs w:val="21"/>
              </w:rPr>
            </w:pPr>
          </w:p>
        </w:tc>
      </w:tr>
      <w:tr w14:paraId="7792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969" w:type="dxa"/>
            <w:vMerge w:val="continue"/>
            <w:shd w:val="clear" w:color="auto" w:fill="auto"/>
            <w:vAlign w:val="center"/>
          </w:tcPr>
          <w:p w14:paraId="620ADD27">
            <w:pPr>
              <w:spacing w:line="240" w:lineRule="auto"/>
              <w:jc w:val="center"/>
              <w:rPr>
                <w:rFonts w:hint="eastAsia" w:ascii="华文仿宋" w:hAnsi="华文仿宋" w:eastAsia="华文仿宋" w:cs="华文仿宋"/>
                <w:b/>
                <w:color w:val="000000"/>
                <w:sz w:val="21"/>
                <w:szCs w:val="21"/>
              </w:rPr>
            </w:pPr>
          </w:p>
        </w:tc>
        <w:tc>
          <w:tcPr>
            <w:tcW w:w="709" w:type="dxa"/>
            <w:shd w:val="clear" w:color="auto" w:fill="auto"/>
            <w:vAlign w:val="center"/>
          </w:tcPr>
          <w:p w14:paraId="1AD27876">
            <w:pPr>
              <w:spacing w:line="240" w:lineRule="auto"/>
              <w:jc w:val="center"/>
              <w:rPr>
                <w:rFonts w:hint="eastAsia" w:ascii="华文仿宋" w:hAnsi="华文仿宋" w:eastAsia="华文仿宋" w:cs="华文仿宋"/>
                <w:color w:val="000000"/>
                <w:sz w:val="21"/>
                <w:szCs w:val="21"/>
              </w:rPr>
            </w:pPr>
          </w:p>
        </w:tc>
        <w:tc>
          <w:tcPr>
            <w:tcW w:w="2274" w:type="dxa"/>
            <w:shd w:val="clear" w:color="auto" w:fill="auto"/>
            <w:vAlign w:val="center"/>
          </w:tcPr>
          <w:p w14:paraId="3D202CCD">
            <w:pPr>
              <w:spacing w:line="240" w:lineRule="auto"/>
              <w:jc w:val="center"/>
              <w:rPr>
                <w:rFonts w:hint="eastAsia" w:ascii="华文仿宋" w:hAnsi="华文仿宋" w:eastAsia="华文仿宋" w:cs="华文仿宋"/>
                <w:color w:val="000000"/>
                <w:sz w:val="21"/>
                <w:szCs w:val="21"/>
              </w:rPr>
            </w:pPr>
          </w:p>
        </w:tc>
        <w:tc>
          <w:tcPr>
            <w:tcW w:w="2268" w:type="dxa"/>
            <w:shd w:val="clear" w:color="auto" w:fill="auto"/>
            <w:vAlign w:val="center"/>
          </w:tcPr>
          <w:p w14:paraId="55ACD317">
            <w:pPr>
              <w:spacing w:line="240" w:lineRule="auto"/>
              <w:jc w:val="center"/>
              <w:rPr>
                <w:rFonts w:hint="eastAsia" w:ascii="华文仿宋" w:hAnsi="华文仿宋" w:eastAsia="华文仿宋" w:cs="华文仿宋"/>
                <w:color w:val="000000"/>
                <w:sz w:val="21"/>
                <w:szCs w:val="21"/>
              </w:rPr>
            </w:pPr>
          </w:p>
        </w:tc>
        <w:tc>
          <w:tcPr>
            <w:tcW w:w="1136" w:type="dxa"/>
            <w:shd w:val="clear" w:color="auto" w:fill="auto"/>
            <w:vAlign w:val="center"/>
          </w:tcPr>
          <w:p w14:paraId="7DA9A9AB">
            <w:pPr>
              <w:spacing w:line="240" w:lineRule="auto"/>
              <w:jc w:val="center"/>
              <w:rPr>
                <w:rFonts w:hint="eastAsia" w:ascii="华文仿宋" w:hAnsi="华文仿宋" w:eastAsia="华文仿宋" w:cs="华文仿宋"/>
                <w:color w:val="000000"/>
                <w:sz w:val="21"/>
                <w:szCs w:val="21"/>
              </w:rPr>
            </w:pPr>
          </w:p>
        </w:tc>
      </w:tr>
      <w:tr w14:paraId="5C4D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969" w:type="dxa"/>
            <w:vMerge w:val="continue"/>
            <w:shd w:val="clear" w:color="auto" w:fill="auto"/>
            <w:vAlign w:val="center"/>
          </w:tcPr>
          <w:p w14:paraId="06198074">
            <w:pPr>
              <w:spacing w:line="240" w:lineRule="auto"/>
              <w:jc w:val="center"/>
              <w:rPr>
                <w:rFonts w:hint="eastAsia" w:ascii="华文仿宋" w:hAnsi="华文仿宋" w:eastAsia="华文仿宋" w:cs="华文仿宋"/>
                <w:b/>
                <w:color w:val="000000"/>
                <w:sz w:val="21"/>
                <w:szCs w:val="21"/>
              </w:rPr>
            </w:pPr>
          </w:p>
        </w:tc>
        <w:tc>
          <w:tcPr>
            <w:tcW w:w="709" w:type="dxa"/>
            <w:shd w:val="clear" w:color="auto" w:fill="auto"/>
            <w:vAlign w:val="center"/>
          </w:tcPr>
          <w:p w14:paraId="50A8374C">
            <w:pPr>
              <w:spacing w:line="240" w:lineRule="auto"/>
              <w:jc w:val="center"/>
              <w:rPr>
                <w:rFonts w:hint="eastAsia" w:ascii="华文仿宋" w:hAnsi="华文仿宋" w:eastAsia="华文仿宋" w:cs="华文仿宋"/>
                <w:color w:val="000000"/>
                <w:sz w:val="21"/>
                <w:szCs w:val="21"/>
              </w:rPr>
            </w:pPr>
          </w:p>
        </w:tc>
        <w:tc>
          <w:tcPr>
            <w:tcW w:w="2274" w:type="dxa"/>
            <w:shd w:val="clear" w:color="auto" w:fill="auto"/>
            <w:vAlign w:val="center"/>
          </w:tcPr>
          <w:p w14:paraId="73234815">
            <w:pPr>
              <w:spacing w:line="240" w:lineRule="auto"/>
              <w:jc w:val="center"/>
              <w:rPr>
                <w:rFonts w:hint="eastAsia" w:ascii="华文仿宋" w:hAnsi="华文仿宋" w:eastAsia="华文仿宋" w:cs="华文仿宋"/>
                <w:color w:val="000000"/>
                <w:sz w:val="21"/>
                <w:szCs w:val="21"/>
              </w:rPr>
            </w:pPr>
          </w:p>
        </w:tc>
        <w:tc>
          <w:tcPr>
            <w:tcW w:w="2268" w:type="dxa"/>
            <w:shd w:val="clear" w:color="auto" w:fill="auto"/>
            <w:vAlign w:val="center"/>
          </w:tcPr>
          <w:p w14:paraId="5553FB9E">
            <w:pPr>
              <w:spacing w:line="240" w:lineRule="auto"/>
              <w:jc w:val="center"/>
              <w:rPr>
                <w:rFonts w:hint="eastAsia" w:ascii="华文仿宋" w:hAnsi="华文仿宋" w:eastAsia="华文仿宋" w:cs="华文仿宋"/>
                <w:color w:val="000000"/>
                <w:sz w:val="21"/>
                <w:szCs w:val="21"/>
              </w:rPr>
            </w:pPr>
          </w:p>
        </w:tc>
        <w:tc>
          <w:tcPr>
            <w:tcW w:w="1136" w:type="dxa"/>
            <w:shd w:val="clear" w:color="auto" w:fill="auto"/>
            <w:vAlign w:val="center"/>
          </w:tcPr>
          <w:p w14:paraId="3FC37768">
            <w:pPr>
              <w:spacing w:line="240" w:lineRule="auto"/>
              <w:jc w:val="center"/>
              <w:rPr>
                <w:rFonts w:hint="eastAsia" w:ascii="华文仿宋" w:hAnsi="华文仿宋" w:eastAsia="华文仿宋" w:cs="华文仿宋"/>
                <w:color w:val="000000"/>
                <w:sz w:val="21"/>
                <w:szCs w:val="21"/>
              </w:rPr>
            </w:pPr>
          </w:p>
        </w:tc>
      </w:tr>
      <w:tr w14:paraId="4B6C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969" w:type="dxa"/>
            <w:shd w:val="clear" w:color="auto" w:fill="auto"/>
            <w:vAlign w:val="center"/>
          </w:tcPr>
          <w:p w14:paraId="6EF44168">
            <w:pPr>
              <w:spacing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与申请范围有关的供应商数量</w:t>
            </w:r>
          </w:p>
        </w:tc>
        <w:tc>
          <w:tcPr>
            <w:tcW w:w="6387" w:type="dxa"/>
            <w:gridSpan w:val="4"/>
            <w:shd w:val="clear" w:color="auto" w:fill="auto"/>
            <w:vAlign w:val="center"/>
          </w:tcPr>
          <w:p w14:paraId="25A2B843">
            <w:pPr>
              <w:spacing w:line="240" w:lineRule="auto"/>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 xml:space="preserve">  </w:t>
            </w:r>
          </w:p>
        </w:tc>
      </w:tr>
      <w:tr w14:paraId="2688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969" w:type="dxa"/>
            <w:shd w:val="clear" w:color="auto" w:fill="auto"/>
            <w:vAlign w:val="center"/>
          </w:tcPr>
          <w:p w14:paraId="51CA184E">
            <w:pPr>
              <w:spacing w:line="240" w:lineRule="auto"/>
              <w:jc w:val="center"/>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体系范围内的服务点数量</w:t>
            </w:r>
          </w:p>
        </w:tc>
        <w:tc>
          <w:tcPr>
            <w:tcW w:w="6387" w:type="dxa"/>
            <w:gridSpan w:val="4"/>
            <w:shd w:val="clear" w:color="auto" w:fill="auto"/>
            <w:vAlign w:val="center"/>
          </w:tcPr>
          <w:p w14:paraId="15A6616E">
            <w:pPr>
              <w:spacing w:line="240" w:lineRule="auto"/>
              <w:rPr>
                <w:rFonts w:hint="eastAsia" w:ascii="华文仿宋" w:hAnsi="华文仿宋" w:eastAsia="华文仿宋" w:cs="华文仿宋"/>
                <w:b/>
                <w:color w:val="000000"/>
                <w:sz w:val="21"/>
                <w:szCs w:val="21"/>
              </w:rPr>
            </w:pPr>
            <w:r>
              <w:rPr>
                <w:rFonts w:hint="eastAsia" w:ascii="华文仿宋" w:hAnsi="华文仿宋" w:eastAsia="华文仿宋" w:cs="华文仿宋"/>
                <w:b/>
                <w:color w:val="000000"/>
                <w:sz w:val="21"/>
                <w:szCs w:val="21"/>
              </w:rPr>
              <w:t xml:space="preserve">  </w:t>
            </w:r>
          </w:p>
        </w:tc>
      </w:tr>
    </w:tbl>
    <w:p w14:paraId="243A08A6">
      <w:pPr>
        <w:spacing w:before="240" w:line="300" w:lineRule="auto"/>
        <w:rPr>
          <w:rFonts w:hint="eastAsia" w:ascii="华文仿宋" w:hAnsi="华文仿宋" w:eastAsia="华文仿宋" w:cs="华文仿宋"/>
          <w:b/>
          <w:sz w:val="21"/>
        </w:rPr>
      </w:pPr>
    </w:p>
    <w:p w14:paraId="11581A97">
      <w:pPr>
        <w:spacing w:before="240" w:line="300" w:lineRule="auto"/>
        <w:rPr>
          <w:rFonts w:hint="eastAsia" w:ascii="华文仿宋" w:hAnsi="华文仿宋" w:eastAsia="华文仿宋" w:cs="华文仿宋"/>
          <w:b/>
          <w:sz w:val="21"/>
        </w:rPr>
      </w:pPr>
      <w:r>
        <w:rPr>
          <w:rFonts w:hint="eastAsia" w:ascii="华文仿宋" w:hAnsi="华文仿宋" w:eastAsia="华文仿宋" w:cs="华文仿宋"/>
          <w:b/>
          <w:sz w:val="21"/>
        </w:rPr>
        <w:t>附表四：基于ISO/IEC20000-1的服务管理体系服务风险表</w:t>
      </w:r>
    </w:p>
    <w:p w14:paraId="3DFAF688">
      <w:pPr>
        <w:spacing w:after="120" w:line="240" w:lineRule="auto"/>
        <w:ind w:firstLine="420" w:firstLineChars="200"/>
        <w:rPr>
          <w:rFonts w:hint="eastAsia" w:ascii="华文仿宋" w:hAnsi="华文仿宋" w:eastAsia="华文仿宋" w:cs="华文仿宋"/>
          <w:sz w:val="21"/>
          <w:szCs w:val="24"/>
        </w:rPr>
      </w:pPr>
      <w:r>
        <w:rPr>
          <w:rFonts w:hint="eastAsia" w:ascii="华文仿宋" w:hAnsi="华文仿宋" w:eastAsia="华文仿宋" w:cs="华文仿宋"/>
          <w:sz w:val="21"/>
          <w:szCs w:val="24"/>
        </w:rPr>
        <w:t>服务风险包括服务管理体系失效所引起的后果及内外部因素对服务管理体系的潜在影响，按照下表进行计分，6分及以上为高风险，4分及5分为中风险，3分及以下为低风险。</w:t>
      </w:r>
    </w:p>
    <w:tbl>
      <w:tblPr>
        <w:tblStyle w:val="5"/>
        <w:tblW w:w="9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5223"/>
        <w:gridCol w:w="2007"/>
        <w:gridCol w:w="1134"/>
      </w:tblGrid>
      <w:tr w14:paraId="6FA2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209" w:type="dxa"/>
            <w:shd w:val="clear" w:color="auto" w:fill="auto"/>
            <w:vAlign w:val="center"/>
          </w:tcPr>
          <w:p w14:paraId="1A108F55">
            <w:pPr>
              <w:spacing w:line="240" w:lineRule="auto"/>
              <w:jc w:val="center"/>
              <w:rPr>
                <w:rFonts w:hint="eastAsia" w:ascii="华文仿宋" w:hAnsi="华文仿宋" w:eastAsia="华文仿宋" w:cs="华文仿宋"/>
                <w:b/>
                <w:sz w:val="21"/>
              </w:rPr>
            </w:pPr>
            <w:r>
              <w:rPr>
                <w:rFonts w:hint="eastAsia" w:ascii="华文仿宋" w:hAnsi="华文仿宋" w:eastAsia="华文仿宋" w:cs="华文仿宋"/>
                <w:b/>
                <w:sz w:val="21"/>
              </w:rPr>
              <w:t>服务风险</w:t>
            </w:r>
          </w:p>
        </w:tc>
        <w:tc>
          <w:tcPr>
            <w:tcW w:w="5223" w:type="dxa"/>
            <w:shd w:val="clear" w:color="auto" w:fill="auto"/>
            <w:vAlign w:val="center"/>
          </w:tcPr>
          <w:p w14:paraId="718FA3E0">
            <w:pPr>
              <w:spacing w:line="240" w:lineRule="auto"/>
              <w:jc w:val="center"/>
              <w:rPr>
                <w:rFonts w:hint="eastAsia" w:ascii="华文仿宋" w:hAnsi="华文仿宋" w:eastAsia="华文仿宋" w:cs="华文仿宋"/>
                <w:b/>
                <w:sz w:val="21"/>
              </w:rPr>
            </w:pPr>
            <w:r>
              <w:rPr>
                <w:rFonts w:hint="eastAsia" w:ascii="华文仿宋" w:hAnsi="华文仿宋" w:eastAsia="华文仿宋" w:cs="华文仿宋"/>
                <w:b/>
                <w:sz w:val="21"/>
              </w:rPr>
              <w:t>风险描述</w:t>
            </w:r>
          </w:p>
        </w:tc>
        <w:tc>
          <w:tcPr>
            <w:tcW w:w="2007" w:type="dxa"/>
            <w:shd w:val="clear" w:color="auto" w:fill="auto"/>
            <w:vAlign w:val="center"/>
          </w:tcPr>
          <w:p w14:paraId="7A6D5FC7">
            <w:pPr>
              <w:spacing w:line="240" w:lineRule="auto"/>
              <w:jc w:val="center"/>
              <w:rPr>
                <w:rFonts w:hint="eastAsia" w:ascii="华文仿宋" w:hAnsi="华文仿宋" w:eastAsia="华文仿宋" w:cs="华文仿宋"/>
                <w:b/>
                <w:sz w:val="21"/>
              </w:rPr>
            </w:pPr>
            <w:r>
              <w:rPr>
                <w:rFonts w:hint="eastAsia" w:ascii="华文仿宋" w:hAnsi="华文仿宋" w:eastAsia="华文仿宋" w:cs="华文仿宋"/>
                <w:b/>
                <w:sz w:val="21"/>
              </w:rPr>
              <w:t>是否存在服务风险</w:t>
            </w:r>
          </w:p>
        </w:tc>
        <w:tc>
          <w:tcPr>
            <w:tcW w:w="1134" w:type="dxa"/>
            <w:shd w:val="clear" w:color="auto" w:fill="auto"/>
            <w:vAlign w:val="center"/>
          </w:tcPr>
          <w:p w14:paraId="4F420C57">
            <w:pPr>
              <w:spacing w:line="240" w:lineRule="auto"/>
              <w:jc w:val="center"/>
              <w:rPr>
                <w:rFonts w:hint="eastAsia" w:ascii="华文仿宋" w:hAnsi="华文仿宋" w:eastAsia="华文仿宋" w:cs="华文仿宋"/>
                <w:b/>
                <w:sz w:val="21"/>
              </w:rPr>
            </w:pPr>
            <w:r>
              <w:rPr>
                <w:rFonts w:hint="eastAsia" w:ascii="华文仿宋" w:hAnsi="华文仿宋" w:eastAsia="华文仿宋" w:cs="华文仿宋"/>
                <w:b/>
                <w:sz w:val="21"/>
              </w:rPr>
              <w:t>风险分值</w:t>
            </w:r>
          </w:p>
        </w:tc>
      </w:tr>
      <w:tr w14:paraId="564C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1209" w:type="dxa"/>
            <w:vMerge w:val="restart"/>
            <w:shd w:val="clear" w:color="auto" w:fill="auto"/>
            <w:vAlign w:val="center"/>
          </w:tcPr>
          <w:p w14:paraId="7EF4AFB3">
            <w:pPr>
              <w:spacing w:line="240" w:lineRule="auto"/>
              <w:rPr>
                <w:rFonts w:hint="eastAsia" w:ascii="华文仿宋" w:hAnsi="华文仿宋" w:eastAsia="华文仿宋" w:cs="华文仿宋"/>
                <w:b/>
                <w:sz w:val="21"/>
              </w:rPr>
            </w:pPr>
            <w:r>
              <w:rPr>
                <w:rFonts w:hint="eastAsia" w:ascii="华文仿宋" w:hAnsi="华文仿宋" w:eastAsia="华文仿宋" w:cs="华文仿宋"/>
                <w:b/>
                <w:sz w:val="21"/>
              </w:rPr>
              <w:t>服务管理体系失效所引起的后果</w:t>
            </w:r>
          </w:p>
        </w:tc>
        <w:tc>
          <w:tcPr>
            <w:tcW w:w="5223" w:type="dxa"/>
            <w:shd w:val="clear" w:color="auto" w:fill="auto"/>
            <w:vAlign w:val="center"/>
          </w:tcPr>
          <w:p w14:paraId="62802423">
            <w:pPr>
              <w:spacing w:line="240" w:lineRule="auto"/>
              <w:rPr>
                <w:rFonts w:hint="eastAsia" w:ascii="华文仿宋" w:hAnsi="华文仿宋" w:eastAsia="华文仿宋" w:cs="华文仿宋"/>
                <w:sz w:val="21"/>
              </w:rPr>
            </w:pPr>
            <w:r>
              <w:rPr>
                <w:rFonts w:hint="eastAsia" w:ascii="华文仿宋" w:hAnsi="华文仿宋" w:eastAsia="华文仿宋" w:cs="华文仿宋"/>
                <w:sz w:val="21"/>
              </w:rPr>
              <w:t>未能达到服务级别协议会危及服务使用者、公众、消费者的安全、健康和经济(例如：未能在救护车服务中满足呼叫中心SLA；未能达到支持“蓝灯”服务的服务水平，例如警察通信)</w:t>
            </w:r>
          </w:p>
        </w:tc>
        <w:tc>
          <w:tcPr>
            <w:tcW w:w="2007" w:type="dxa"/>
            <w:shd w:val="clear" w:color="auto" w:fill="auto"/>
            <w:vAlign w:val="center"/>
          </w:tcPr>
          <w:p w14:paraId="3FA47996">
            <w:pPr>
              <w:spacing w:line="240" w:lineRule="auto"/>
              <w:jc w:val="center"/>
              <w:rPr>
                <w:rFonts w:hint="eastAsia" w:ascii="华文仿宋" w:hAnsi="华文仿宋" w:eastAsia="华文仿宋" w:cs="华文仿宋"/>
                <w:sz w:val="21"/>
              </w:rPr>
            </w:pPr>
          </w:p>
        </w:tc>
        <w:tc>
          <w:tcPr>
            <w:tcW w:w="1134" w:type="dxa"/>
            <w:shd w:val="clear" w:color="auto" w:fill="auto"/>
            <w:vAlign w:val="center"/>
          </w:tcPr>
          <w:p w14:paraId="636F64CD">
            <w:pPr>
              <w:spacing w:line="240" w:lineRule="auto"/>
              <w:jc w:val="center"/>
              <w:rPr>
                <w:rFonts w:hint="eastAsia" w:ascii="华文仿宋" w:hAnsi="华文仿宋" w:eastAsia="华文仿宋" w:cs="华文仿宋"/>
                <w:sz w:val="21"/>
              </w:rPr>
            </w:pPr>
          </w:p>
        </w:tc>
      </w:tr>
      <w:tr w14:paraId="5547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1209" w:type="dxa"/>
            <w:vMerge w:val="continue"/>
            <w:shd w:val="clear" w:color="auto" w:fill="auto"/>
            <w:vAlign w:val="center"/>
          </w:tcPr>
          <w:p w14:paraId="16C0769A">
            <w:pPr>
              <w:spacing w:line="240" w:lineRule="auto"/>
              <w:rPr>
                <w:rFonts w:hint="eastAsia" w:ascii="华文仿宋" w:hAnsi="华文仿宋" w:eastAsia="华文仿宋" w:cs="华文仿宋"/>
                <w:b/>
                <w:sz w:val="21"/>
              </w:rPr>
            </w:pPr>
          </w:p>
        </w:tc>
        <w:tc>
          <w:tcPr>
            <w:tcW w:w="5223" w:type="dxa"/>
            <w:shd w:val="clear" w:color="auto" w:fill="auto"/>
            <w:vAlign w:val="center"/>
          </w:tcPr>
          <w:p w14:paraId="0DF6B095">
            <w:pPr>
              <w:spacing w:line="240" w:lineRule="auto"/>
              <w:rPr>
                <w:rFonts w:hint="eastAsia" w:ascii="华文仿宋" w:hAnsi="华文仿宋" w:eastAsia="华文仿宋" w:cs="华文仿宋"/>
                <w:sz w:val="21"/>
              </w:rPr>
            </w:pPr>
            <w:bookmarkStart w:id="0" w:name="OLE_LINK4"/>
            <w:bookmarkStart w:id="1" w:name="OLE_LINK5"/>
            <w:r>
              <w:rPr>
                <w:rFonts w:hint="eastAsia" w:ascii="华文仿宋" w:hAnsi="华文仿宋" w:eastAsia="华文仿宋" w:cs="华文仿宋"/>
                <w:sz w:val="21"/>
              </w:rPr>
              <w:t>未能达到服务级别协议会危及国家基础设施或基本服务的连续性(例如：电力、天然气、水、空中交通管制等服务、国家边境管制、普遍故障的自动取款机等服务)</w:t>
            </w:r>
            <w:bookmarkEnd w:id="0"/>
            <w:bookmarkEnd w:id="1"/>
          </w:p>
        </w:tc>
        <w:tc>
          <w:tcPr>
            <w:tcW w:w="2007" w:type="dxa"/>
            <w:shd w:val="clear" w:color="auto" w:fill="auto"/>
            <w:vAlign w:val="center"/>
          </w:tcPr>
          <w:p w14:paraId="31BCB4F7">
            <w:pPr>
              <w:spacing w:line="240" w:lineRule="auto"/>
              <w:jc w:val="center"/>
              <w:rPr>
                <w:rFonts w:hint="eastAsia" w:ascii="华文仿宋" w:hAnsi="华文仿宋" w:eastAsia="华文仿宋" w:cs="华文仿宋"/>
                <w:sz w:val="21"/>
              </w:rPr>
            </w:pPr>
          </w:p>
        </w:tc>
        <w:tc>
          <w:tcPr>
            <w:tcW w:w="1134" w:type="dxa"/>
            <w:shd w:val="clear" w:color="auto" w:fill="auto"/>
            <w:vAlign w:val="center"/>
          </w:tcPr>
          <w:p w14:paraId="1A893843">
            <w:pPr>
              <w:spacing w:line="240" w:lineRule="auto"/>
              <w:jc w:val="center"/>
              <w:rPr>
                <w:rFonts w:hint="eastAsia" w:ascii="华文仿宋" w:hAnsi="华文仿宋" w:eastAsia="华文仿宋" w:cs="华文仿宋"/>
                <w:sz w:val="21"/>
              </w:rPr>
            </w:pPr>
          </w:p>
        </w:tc>
      </w:tr>
      <w:tr w14:paraId="2668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09" w:type="dxa"/>
            <w:vMerge w:val="restart"/>
            <w:shd w:val="clear" w:color="auto" w:fill="auto"/>
            <w:vAlign w:val="center"/>
          </w:tcPr>
          <w:p w14:paraId="6A317E48">
            <w:pPr>
              <w:spacing w:line="240" w:lineRule="auto"/>
              <w:rPr>
                <w:rFonts w:hint="eastAsia" w:ascii="华文仿宋" w:hAnsi="华文仿宋" w:eastAsia="华文仿宋" w:cs="华文仿宋"/>
                <w:b/>
                <w:sz w:val="21"/>
              </w:rPr>
            </w:pPr>
            <w:r>
              <w:rPr>
                <w:rFonts w:hint="eastAsia" w:ascii="华文仿宋" w:hAnsi="华文仿宋" w:eastAsia="华文仿宋" w:cs="华文仿宋"/>
                <w:b/>
                <w:sz w:val="21"/>
              </w:rPr>
              <w:t>对服务管理体系的潜在影响</w:t>
            </w:r>
          </w:p>
        </w:tc>
        <w:tc>
          <w:tcPr>
            <w:tcW w:w="5223" w:type="dxa"/>
            <w:shd w:val="clear" w:color="auto" w:fill="auto"/>
            <w:vAlign w:val="center"/>
          </w:tcPr>
          <w:p w14:paraId="79C0CB06">
            <w:pPr>
              <w:spacing w:line="240" w:lineRule="auto"/>
              <w:rPr>
                <w:rFonts w:hint="eastAsia" w:ascii="华文仿宋" w:hAnsi="华文仿宋" w:eastAsia="华文仿宋" w:cs="华文仿宋"/>
                <w:sz w:val="21"/>
              </w:rPr>
            </w:pPr>
            <w:r>
              <w:rPr>
                <w:rFonts w:hint="eastAsia" w:ascii="华文仿宋" w:hAnsi="华文仿宋" w:eastAsia="华文仿宋" w:cs="华文仿宋"/>
                <w:sz w:val="21"/>
              </w:rPr>
              <w:t>技术包括远程监控和对客户系统的远程访问。</w:t>
            </w:r>
          </w:p>
        </w:tc>
        <w:tc>
          <w:tcPr>
            <w:tcW w:w="2007" w:type="dxa"/>
            <w:shd w:val="clear" w:color="auto" w:fill="auto"/>
            <w:vAlign w:val="center"/>
          </w:tcPr>
          <w:p w14:paraId="030CBD7B">
            <w:pPr>
              <w:spacing w:line="240" w:lineRule="auto"/>
              <w:jc w:val="center"/>
              <w:rPr>
                <w:rFonts w:hint="eastAsia" w:ascii="华文仿宋" w:hAnsi="华文仿宋" w:eastAsia="华文仿宋" w:cs="华文仿宋"/>
                <w:sz w:val="21"/>
              </w:rPr>
            </w:pPr>
          </w:p>
        </w:tc>
        <w:tc>
          <w:tcPr>
            <w:tcW w:w="1134" w:type="dxa"/>
            <w:shd w:val="clear" w:color="auto" w:fill="auto"/>
            <w:vAlign w:val="center"/>
          </w:tcPr>
          <w:p w14:paraId="5B48BC03">
            <w:pPr>
              <w:spacing w:line="240" w:lineRule="auto"/>
              <w:jc w:val="center"/>
              <w:rPr>
                <w:rFonts w:hint="eastAsia" w:ascii="华文仿宋" w:hAnsi="华文仿宋" w:eastAsia="华文仿宋" w:cs="华文仿宋"/>
                <w:sz w:val="21"/>
              </w:rPr>
            </w:pPr>
          </w:p>
        </w:tc>
      </w:tr>
      <w:tr w14:paraId="14A6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09" w:type="dxa"/>
            <w:vMerge w:val="continue"/>
            <w:shd w:val="clear" w:color="auto" w:fill="auto"/>
            <w:vAlign w:val="center"/>
          </w:tcPr>
          <w:p w14:paraId="143FE951">
            <w:pPr>
              <w:spacing w:line="240" w:lineRule="auto"/>
              <w:rPr>
                <w:rFonts w:hint="eastAsia" w:ascii="华文仿宋" w:hAnsi="华文仿宋" w:eastAsia="华文仿宋" w:cs="华文仿宋"/>
                <w:b/>
                <w:sz w:val="21"/>
              </w:rPr>
            </w:pPr>
          </w:p>
        </w:tc>
        <w:tc>
          <w:tcPr>
            <w:tcW w:w="5223" w:type="dxa"/>
            <w:shd w:val="clear" w:color="auto" w:fill="auto"/>
            <w:vAlign w:val="center"/>
          </w:tcPr>
          <w:p w14:paraId="7735436C">
            <w:pPr>
              <w:spacing w:line="240" w:lineRule="auto"/>
              <w:rPr>
                <w:rFonts w:hint="eastAsia" w:ascii="华文仿宋" w:hAnsi="华文仿宋" w:eastAsia="华文仿宋" w:cs="华文仿宋"/>
                <w:sz w:val="21"/>
              </w:rPr>
            </w:pPr>
            <w:r>
              <w:rPr>
                <w:rFonts w:hint="eastAsia" w:ascii="华文仿宋" w:hAnsi="华文仿宋" w:eastAsia="华文仿宋" w:cs="华文仿宋"/>
                <w:sz w:val="21"/>
              </w:rPr>
              <w:t>支持包括软件开发-软件应用程序的增强/缺陷修复。</w:t>
            </w:r>
          </w:p>
        </w:tc>
        <w:tc>
          <w:tcPr>
            <w:tcW w:w="2007" w:type="dxa"/>
            <w:shd w:val="clear" w:color="auto" w:fill="auto"/>
            <w:vAlign w:val="center"/>
          </w:tcPr>
          <w:p w14:paraId="0537F41E">
            <w:pPr>
              <w:spacing w:line="240" w:lineRule="auto"/>
              <w:jc w:val="center"/>
              <w:rPr>
                <w:rFonts w:hint="eastAsia" w:ascii="华文仿宋" w:hAnsi="华文仿宋" w:eastAsia="华文仿宋" w:cs="华文仿宋"/>
                <w:sz w:val="21"/>
              </w:rPr>
            </w:pPr>
          </w:p>
        </w:tc>
        <w:tc>
          <w:tcPr>
            <w:tcW w:w="1134" w:type="dxa"/>
            <w:shd w:val="clear" w:color="auto" w:fill="auto"/>
            <w:vAlign w:val="center"/>
          </w:tcPr>
          <w:p w14:paraId="522E0559">
            <w:pPr>
              <w:spacing w:line="240" w:lineRule="auto"/>
              <w:jc w:val="center"/>
              <w:rPr>
                <w:rFonts w:hint="eastAsia" w:ascii="华文仿宋" w:hAnsi="华文仿宋" w:eastAsia="华文仿宋" w:cs="华文仿宋"/>
                <w:sz w:val="21"/>
              </w:rPr>
            </w:pPr>
          </w:p>
        </w:tc>
      </w:tr>
      <w:tr w14:paraId="3423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09" w:type="dxa"/>
            <w:vMerge w:val="continue"/>
            <w:shd w:val="clear" w:color="auto" w:fill="auto"/>
            <w:vAlign w:val="center"/>
          </w:tcPr>
          <w:p w14:paraId="5D7A2220">
            <w:pPr>
              <w:spacing w:line="240" w:lineRule="auto"/>
              <w:rPr>
                <w:rFonts w:hint="eastAsia" w:ascii="华文仿宋" w:hAnsi="华文仿宋" w:eastAsia="华文仿宋" w:cs="华文仿宋"/>
                <w:b/>
                <w:sz w:val="21"/>
              </w:rPr>
            </w:pPr>
          </w:p>
        </w:tc>
        <w:tc>
          <w:tcPr>
            <w:tcW w:w="5223" w:type="dxa"/>
            <w:shd w:val="clear" w:color="auto" w:fill="auto"/>
            <w:vAlign w:val="center"/>
          </w:tcPr>
          <w:p w14:paraId="143172C0">
            <w:pPr>
              <w:spacing w:line="240" w:lineRule="auto"/>
              <w:rPr>
                <w:rFonts w:hint="eastAsia" w:ascii="华文仿宋" w:hAnsi="华文仿宋" w:eastAsia="华文仿宋" w:cs="华文仿宋"/>
                <w:sz w:val="21"/>
              </w:rPr>
            </w:pPr>
            <w:r>
              <w:rPr>
                <w:rFonts w:hint="eastAsia" w:ascii="华文仿宋" w:hAnsi="华文仿宋" w:eastAsia="华文仿宋" w:cs="华文仿宋"/>
                <w:sz w:val="21"/>
              </w:rPr>
              <w:t>服务包括托管客户系统。</w:t>
            </w:r>
          </w:p>
        </w:tc>
        <w:tc>
          <w:tcPr>
            <w:tcW w:w="2007" w:type="dxa"/>
            <w:shd w:val="clear" w:color="auto" w:fill="auto"/>
            <w:vAlign w:val="center"/>
          </w:tcPr>
          <w:p w14:paraId="796BE960">
            <w:pPr>
              <w:spacing w:line="240" w:lineRule="auto"/>
              <w:jc w:val="center"/>
              <w:rPr>
                <w:rFonts w:hint="eastAsia" w:ascii="华文仿宋" w:hAnsi="华文仿宋" w:eastAsia="华文仿宋" w:cs="华文仿宋"/>
                <w:sz w:val="21"/>
              </w:rPr>
            </w:pPr>
          </w:p>
        </w:tc>
        <w:tc>
          <w:tcPr>
            <w:tcW w:w="1134" w:type="dxa"/>
            <w:shd w:val="clear" w:color="auto" w:fill="auto"/>
            <w:vAlign w:val="center"/>
          </w:tcPr>
          <w:p w14:paraId="201BF66D">
            <w:pPr>
              <w:spacing w:line="240" w:lineRule="auto"/>
              <w:jc w:val="center"/>
              <w:rPr>
                <w:rFonts w:hint="eastAsia" w:ascii="华文仿宋" w:hAnsi="华文仿宋" w:eastAsia="华文仿宋" w:cs="华文仿宋"/>
                <w:sz w:val="21"/>
              </w:rPr>
            </w:pPr>
          </w:p>
        </w:tc>
      </w:tr>
      <w:tr w14:paraId="4F5A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09" w:type="dxa"/>
            <w:vMerge w:val="continue"/>
            <w:shd w:val="clear" w:color="auto" w:fill="auto"/>
            <w:vAlign w:val="center"/>
          </w:tcPr>
          <w:p w14:paraId="3EB08755">
            <w:pPr>
              <w:spacing w:line="240" w:lineRule="auto"/>
              <w:rPr>
                <w:rFonts w:hint="eastAsia" w:ascii="华文仿宋" w:hAnsi="华文仿宋" w:eastAsia="华文仿宋" w:cs="华文仿宋"/>
                <w:b/>
                <w:sz w:val="21"/>
              </w:rPr>
            </w:pPr>
          </w:p>
        </w:tc>
        <w:tc>
          <w:tcPr>
            <w:tcW w:w="5223" w:type="dxa"/>
            <w:shd w:val="clear" w:color="auto" w:fill="auto"/>
            <w:vAlign w:val="center"/>
          </w:tcPr>
          <w:p w14:paraId="2A0102CF">
            <w:pPr>
              <w:spacing w:line="240" w:lineRule="auto"/>
              <w:rPr>
                <w:rFonts w:hint="eastAsia" w:ascii="华文仿宋" w:hAnsi="华文仿宋" w:eastAsia="华文仿宋" w:cs="华文仿宋"/>
                <w:sz w:val="21"/>
              </w:rPr>
            </w:pPr>
            <w:r>
              <w:rPr>
                <w:rFonts w:hint="eastAsia" w:ascii="华文仿宋" w:hAnsi="华文仿宋" w:eastAsia="华文仿宋" w:cs="华文仿宋"/>
                <w:sz w:val="21"/>
              </w:rPr>
              <w:t>外包服务的失败可能导致重大事故。</w:t>
            </w:r>
          </w:p>
        </w:tc>
        <w:tc>
          <w:tcPr>
            <w:tcW w:w="2007" w:type="dxa"/>
            <w:shd w:val="clear" w:color="auto" w:fill="auto"/>
            <w:vAlign w:val="center"/>
          </w:tcPr>
          <w:p w14:paraId="667F9D12">
            <w:pPr>
              <w:spacing w:line="240" w:lineRule="auto"/>
              <w:jc w:val="center"/>
              <w:rPr>
                <w:rFonts w:hint="eastAsia" w:ascii="华文仿宋" w:hAnsi="华文仿宋" w:eastAsia="华文仿宋" w:cs="华文仿宋"/>
                <w:sz w:val="21"/>
              </w:rPr>
            </w:pPr>
          </w:p>
        </w:tc>
        <w:tc>
          <w:tcPr>
            <w:tcW w:w="1134" w:type="dxa"/>
            <w:shd w:val="clear" w:color="auto" w:fill="auto"/>
            <w:vAlign w:val="center"/>
          </w:tcPr>
          <w:p w14:paraId="6AAA1A10">
            <w:pPr>
              <w:spacing w:line="240" w:lineRule="auto"/>
              <w:jc w:val="center"/>
              <w:rPr>
                <w:rFonts w:hint="eastAsia" w:ascii="华文仿宋" w:hAnsi="华文仿宋" w:eastAsia="华文仿宋" w:cs="华文仿宋"/>
                <w:sz w:val="21"/>
              </w:rPr>
            </w:pPr>
          </w:p>
        </w:tc>
      </w:tr>
      <w:tr w14:paraId="1B93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39" w:type="dxa"/>
            <w:gridSpan w:val="3"/>
            <w:shd w:val="clear" w:color="auto" w:fill="auto"/>
            <w:vAlign w:val="center"/>
          </w:tcPr>
          <w:p w14:paraId="764A6CF4">
            <w:pPr>
              <w:spacing w:line="240" w:lineRule="auto"/>
              <w:jc w:val="center"/>
              <w:rPr>
                <w:rFonts w:hint="eastAsia" w:ascii="华文仿宋" w:hAnsi="华文仿宋" w:eastAsia="华文仿宋" w:cs="华文仿宋"/>
                <w:b/>
                <w:sz w:val="21"/>
              </w:rPr>
            </w:pPr>
            <w:r>
              <w:rPr>
                <w:rFonts w:hint="eastAsia" w:ascii="华文仿宋" w:hAnsi="华文仿宋" w:eastAsia="华文仿宋" w:cs="华文仿宋"/>
                <w:b/>
                <w:sz w:val="21"/>
              </w:rPr>
              <w:t>风险评分</w:t>
            </w:r>
          </w:p>
        </w:tc>
        <w:tc>
          <w:tcPr>
            <w:tcW w:w="1134" w:type="dxa"/>
            <w:shd w:val="clear" w:color="auto" w:fill="auto"/>
            <w:vAlign w:val="center"/>
          </w:tcPr>
          <w:p w14:paraId="52017BDA">
            <w:pPr>
              <w:spacing w:line="240" w:lineRule="auto"/>
              <w:jc w:val="center"/>
              <w:rPr>
                <w:rFonts w:hint="eastAsia" w:ascii="华文仿宋" w:hAnsi="华文仿宋" w:eastAsia="华文仿宋" w:cs="华文仿宋"/>
                <w:b/>
                <w:sz w:val="21"/>
              </w:rPr>
            </w:pPr>
          </w:p>
        </w:tc>
      </w:tr>
      <w:tr w14:paraId="67CF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39" w:type="dxa"/>
            <w:gridSpan w:val="3"/>
            <w:shd w:val="clear" w:color="auto" w:fill="auto"/>
            <w:vAlign w:val="center"/>
          </w:tcPr>
          <w:p w14:paraId="7BD5D79B">
            <w:pPr>
              <w:spacing w:line="240" w:lineRule="auto"/>
              <w:jc w:val="center"/>
              <w:rPr>
                <w:rFonts w:hint="eastAsia" w:ascii="华文仿宋" w:hAnsi="华文仿宋" w:eastAsia="华文仿宋" w:cs="华文仿宋"/>
                <w:b/>
                <w:sz w:val="21"/>
              </w:rPr>
            </w:pPr>
            <w:r>
              <w:rPr>
                <w:rFonts w:hint="eastAsia" w:ascii="华文仿宋" w:hAnsi="华文仿宋" w:eastAsia="华文仿宋" w:cs="华文仿宋"/>
                <w:b/>
                <w:sz w:val="21"/>
              </w:rPr>
              <w:t>风险等级</w:t>
            </w:r>
          </w:p>
        </w:tc>
        <w:tc>
          <w:tcPr>
            <w:tcW w:w="1134" w:type="dxa"/>
            <w:shd w:val="clear" w:color="auto" w:fill="auto"/>
            <w:vAlign w:val="center"/>
          </w:tcPr>
          <w:p w14:paraId="18E36D3D">
            <w:pPr>
              <w:spacing w:line="240" w:lineRule="auto"/>
              <w:jc w:val="center"/>
              <w:rPr>
                <w:rFonts w:hint="eastAsia" w:ascii="华文仿宋" w:hAnsi="华文仿宋" w:eastAsia="华文仿宋" w:cs="华文仿宋"/>
                <w:b/>
                <w:sz w:val="21"/>
              </w:rPr>
            </w:pPr>
          </w:p>
        </w:tc>
      </w:tr>
    </w:tbl>
    <w:p w14:paraId="37B80143">
      <w:pPr>
        <w:rPr>
          <w:rFonts w:hint="eastAsia" w:ascii="华文仿宋" w:hAnsi="华文仿宋" w:eastAsia="华文仿宋" w:cs="华文仿宋"/>
          <w:sz w:val="21"/>
          <w:szCs w:val="21"/>
        </w:rPr>
      </w:pPr>
    </w:p>
    <w:p w14:paraId="4ED415F8">
      <w:pPr>
        <w:jc w:val="both"/>
        <w:rPr>
          <w:rFonts w:hint="eastAsia" w:ascii="华文仿宋" w:hAnsi="华文仿宋" w:eastAsia="华文仿宋" w:cs="华文仿宋"/>
          <w:b/>
          <w:bCs/>
          <w:sz w:val="36"/>
          <w:szCs w:val="36"/>
          <w:lang w:val="en-US" w:eastAsia="zh-CN"/>
        </w:rPr>
      </w:pPr>
    </w:p>
    <w:sectPr>
      <w:head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embedRegular r:id="rId1" w:fontKey="{34D85AED-EDBC-4729-A945-9A8A62A1A62C}"/>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D1869">
    <w:pPr>
      <w:pStyle w:val="4"/>
      <w:jc w:val="both"/>
      <w:rPr>
        <w:rFonts w:hint="eastAsia" w:ascii="华文仿宋" w:hAnsi="华文仿宋" w:eastAsia="华文仿宋" w:cs="华文仿宋"/>
        <w:sz w:val="24"/>
        <w:szCs w:val="24"/>
      </w:rPr>
    </w:pPr>
    <w:r>
      <w:rPr>
        <w:rFonts w:hint="eastAsia" w:ascii="华文仿宋" w:hAnsi="华文仿宋" w:eastAsia="华文仿宋" w:cs="华文仿宋"/>
        <w:sz w:val="24"/>
        <w:szCs w:val="24"/>
        <w:lang w:val="en-US" w:eastAsia="zh-CN"/>
      </w:rPr>
      <w:t xml:space="preserve">万佳标准认证（湖北）有限公司                                      </w:t>
    </w:r>
    <w:r>
      <w:rPr>
        <w:rFonts w:hint="eastAsia" w:ascii="华文仿宋" w:hAnsi="华文仿宋" w:eastAsia="华文仿宋" w:cs="华文仿宋"/>
        <w:sz w:val="24"/>
        <w:szCs w:val="24"/>
      </w:rPr>
      <w:t>认证申请书附录6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2F678B"/>
    <w:multiLevelType w:val="multilevel"/>
    <w:tmpl w:val="3A2F678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E3110"/>
    <w:rsid w:val="02FF2281"/>
    <w:rsid w:val="27883B9F"/>
    <w:rsid w:val="283822CD"/>
    <w:rsid w:val="4FDD1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val="0"/>
      <w:spacing w:line="240" w:lineRule="auto"/>
    </w:pPr>
    <w:rPr>
      <w:rFonts w:hint="default" w:ascii="宋体" w:hAnsi="Courier New"/>
      <w:kern w:val="0"/>
      <w:sz w:val="21"/>
      <w:szCs w:val="20"/>
    </w:rPr>
  </w:style>
  <w:style w:type="paragraph" w:styleId="3">
    <w:name w:val="footer"/>
    <w:basedOn w:val="1"/>
    <w:qFormat/>
    <w:uiPriority w:val="0"/>
    <w:pPr>
      <w:snapToGrid w:val="0"/>
      <w:spacing w:line="240" w:lineRule="auto"/>
      <w:jc w:val="left"/>
    </w:pPr>
    <w:rPr>
      <w:sz w:val="18"/>
      <w:szCs w:val="18"/>
    </w:rPr>
  </w:style>
  <w:style w:type="paragraph" w:styleId="4">
    <w:name w:val="header"/>
    <w:basedOn w:val="1"/>
    <w:qFormat/>
    <w:uiPriority w:val="0"/>
    <w:pPr>
      <w:pBdr>
        <w:bottom w:val="single" w:color="auto" w:sz="6" w:space="1"/>
      </w:pBdr>
      <w:snapToGrid w:val="0"/>
      <w:spacing w:line="240" w:lineRule="auto"/>
      <w:jc w:val="center"/>
    </w:pPr>
    <w:rPr>
      <w:sz w:val="18"/>
      <w:szCs w:val="18"/>
    </w:rPr>
  </w:style>
  <w:style w:type="paragraph" w:customStyle="1" w:styleId="7">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757</Words>
  <Characters>787</Characters>
  <Lines>0</Lines>
  <Paragraphs>0</Paragraphs>
  <TotalTime>0</TotalTime>
  <ScaleCrop>false</ScaleCrop>
  <LinksUpToDate>false</LinksUpToDate>
  <CharactersWithSpaces>794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2025-11-03T08:18:00Z</dcterms:created>
  <dc:creator>50608</dc:creator>
  <cp:lastModifiedBy>黄儒敬</cp:lastModifiedBy>
  <dcterms:modified xsi:type="dcterms:W3CDTF">2025-11-07T03:01:47Z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eyJoZGlkIjoiNTc1MDU5YjdiYjM0MGQyNmI4NDQ3NThiNzA4NDBiNDAiLCJ1c2VySWQiOiIyNDE5MjU5NTgifQ==</vt:lpwstr>
  </property>
  <property fmtid="{D5CDD505-2E9C-101B-9397-08002B2CF9AE}" pid="4" name="ICV">
    <vt:lpwstr>7522E520A5FC4D948AC6C6E3474C1866_12</vt:lpwstr>
  </property>
</Properties>
</file>