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F3BEC4">
      <w:pPr>
        <w:jc w:val="center"/>
        <w:rPr>
          <w:rFonts w:hint="eastAsia" w:ascii="华文仿宋" w:hAnsi="华文仿宋" w:eastAsia="华文仿宋" w:cs="华文仿宋"/>
          <w:b/>
          <w:bCs/>
          <w:sz w:val="36"/>
          <w:szCs w:val="36"/>
          <w:lang w:val="en-US" w:eastAsia="zh-CN"/>
        </w:rPr>
      </w:pPr>
      <w:r>
        <w:rPr>
          <w:rFonts w:hint="eastAsia" w:ascii="华文仿宋" w:hAnsi="华文仿宋" w:eastAsia="华文仿宋" w:cs="华文仿宋"/>
          <w:b/>
          <w:bCs/>
          <w:sz w:val="36"/>
          <w:szCs w:val="36"/>
          <w:lang w:val="en-US" w:eastAsia="zh-CN"/>
        </w:rPr>
        <w:t>信息安全/隐私信息/业务连续性管理体系</w:t>
      </w:r>
    </w:p>
    <w:p w14:paraId="4F841699">
      <w:pPr>
        <w:jc w:val="center"/>
        <w:rPr>
          <w:rFonts w:hint="eastAsia" w:ascii="华文仿宋" w:hAnsi="华文仿宋" w:eastAsia="华文仿宋" w:cs="华文仿宋"/>
          <w:b/>
          <w:bCs/>
          <w:sz w:val="36"/>
          <w:szCs w:val="36"/>
          <w:lang w:val="en-US" w:eastAsia="zh-CN"/>
        </w:rPr>
      </w:pPr>
      <w:r>
        <w:rPr>
          <w:rFonts w:hint="eastAsia" w:ascii="华文仿宋" w:hAnsi="华文仿宋" w:eastAsia="华文仿宋" w:cs="华文仿宋"/>
          <w:b/>
          <w:bCs/>
          <w:sz w:val="36"/>
          <w:szCs w:val="36"/>
          <w:lang w:val="en-US" w:eastAsia="zh-CN"/>
        </w:rPr>
        <w:t>认证申请资料</w:t>
      </w:r>
      <w:bookmarkStart w:id="0" w:name="_GoBack"/>
      <w:bookmarkEnd w:id="0"/>
    </w:p>
    <w:p w14:paraId="18BC4AAE">
      <w:pPr>
        <w:rPr>
          <w:rFonts w:hint="eastAsia" w:ascii="华文仿宋" w:hAnsi="华文仿宋" w:eastAsia="华文仿宋" w:cs="华文仿宋"/>
          <w:lang w:val="en-US" w:eastAsia="zh-CN"/>
        </w:rPr>
      </w:pPr>
    </w:p>
    <w:p w14:paraId="0D5653EF">
      <w:pPr>
        <w:rPr>
          <w:rFonts w:hint="eastAsia" w:ascii="华文仿宋" w:hAnsi="华文仿宋" w:eastAsia="华文仿宋" w:cs="华文仿宋"/>
          <w:sz w:val="28"/>
          <w:szCs w:val="36"/>
        </w:rPr>
      </w:pPr>
      <w:r>
        <w:rPr>
          <w:rFonts w:hint="eastAsia" w:ascii="华文仿宋" w:hAnsi="华文仿宋" w:eastAsia="华文仿宋" w:cs="华文仿宋"/>
          <w:sz w:val="28"/>
          <w:szCs w:val="36"/>
          <w:lang w:val="en-US" w:eastAsia="zh-CN"/>
        </w:rPr>
        <w:t>1</w:t>
      </w:r>
      <w:r>
        <w:rPr>
          <w:rFonts w:hint="eastAsia" w:ascii="华文仿宋" w:hAnsi="华文仿宋" w:eastAsia="华文仿宋" w:cs="华文仿宋"/>
          <w:sz w:val="28"/>
          <w:szCs w:val="36"/>
        </w:rPr>
        <w:t>为政府部门提供信息技术外包服务的机构或组织若其认证范围涉及政府信息,须提供经工业和信息化主管部门同意的通知文件方可受理，否则认证范围不能涉及政府信息。</w:t>
      </w:r>
    </w:p>
    <w:p w14:paraId="1DB5C628">
      <w:pPr>
        <w:rPr>
          <w:rFonts w:hint="eastAsia" w:ascii="华文仿宋" w:hAnsi="华文仿宋" w:eastAsia="华文仿宋" w:cs="华文仿宋"/>
          <w:sz w:val="28"/>
          <w:szCs w:val="36"/>
        </w:rPr>
      </w:pPr>
      <w:r>
        <w:rPr>
          <w:rFonts w:hint="eastAsia" w:ascii="华文仿宋" w:hAnsi="华文仿宋" w:eastAsia="华文仿宋" w:cs="华文仿宋"/>
          <w:sz w:val="28"/>
          <w:szCs w:val="36"/>
          <w:lang w:val="en-US" w:eastAsia="zh-CN"/>
        </w:rPr>
        <w:t>2</w:t>
      </w:r>
      <w:r>
        <w:rPr>
          <w:rFonts w:hint="eastAsia" w:ascii="华文仿宋" w:hAnsi="华文仿宋" w:eastAsia="华文仿宋" w:cs="华文仿宋"/>
          <w:sz w:val="28"/>
          <w:szCs w:val="36"/>
        </w:rPr>
        <w:t>通信、金融、铁路、民航、电力等基础信息网络和重要信息系统运营单位应提交事先报行业主管或监管部门同意的文件,其他涉及国计民生的国有企业提交事先报国有资产监督管理部门同意的文件,涉及国家秘密的应提交报保密行政管理部门同意的文件。</w:t>
      </w:r>
    </w:p>
    <w:p w14:paraId="26A05910">
      <w:pPr>
        <w:rPr>
          <w:rFonts w:hint="eastAsia" w:ascii="华文仿宋" w:hAnsi="华文仿宋" w:eastAsia="华文仿宋" w:cs="华文仿宋"/>
          <w:sz w:val="28"/>
          <w:szCs w:val="36"/>
          <w:lang w:eastAsia="zh-CN"/>
        </w:rPr>
      </w:pPr>
      <w:r>
        <w:rPr>
          <w:rFonts w:hint="eastAsia" w:ascii="华文仿宋" w:hAnsi="华文仿宋" w:eastAsia="华文仿宋" w:cs="华文仿宋"/>
          <w:sz w:val="28"/>
          <w:szCs w:val="36"/>
          <w:lang w:val="en-US" w:eastAsia="zh-CN"/>
        </w:rPr>
        <w:t>3</w:t>
      </w:r>
      <w:r>
        <w:rPr>
          <w:rFonts w:hint="eastAsia" w:ascii="华文仿宋" w:hAnsi="华文仿宋" w:eastAsia="华文仿宋" w:cs="华文仿宋"/>
          <w:sz w:val="28"/>
          <w:szCs w:val="36"/>
        </w:rPr>
        <w:t>信息安全</w:t>
      </w:r>
      <w:r>
        <w:rPr>
          <w:rFonts w:hint="eastAsia" w:ascii="华文仿宋" w:hAnsi="华文仿宋" w:eastAsia="华文仿宋" w:cs="华文仿宋"/>
          <w:sz w:val="28"/>
          <w:szCs w:val="36"/>
          <w:lang w:val="en-US" w:eastAsia="zh-CN"/>
        </w:rPr>
        <w:t>/隐私信息/业务连续性</w:t>
      </w:r>
      <w:r>
        <w:rPr>
          <w:rFonts w:hint="eastAsia" w:ascii="华文仿宋" w:hAnsi="华文仿宋" w:eastAsia="华文仿宋" w:cs="华文仿宋"/>
          <w:sz w:val="28"/>
          <w:szCs w:val="36"/>
        </w:rPr>
        <w:t>管理体系适用性声明编号及版本号</w:t>
      </w:r>
      <w:r>
        <w:rPr>
          <w:rFonts w:hint="eastAsia" w:ascii="华文仿宋" w:hAnsi="华文仿宋" w:eastAsia="华文仿宋" w:cs="华文仿宋"/>
          <w:sz w:val="28"/>
          <w:szCs w:val="36"/>
          <w:lang w:eastAsia="zh-CN"/>
        </w:rPr>
        <w:t>；</w:t>
      </w:r>
    </w:p>
    <w:p w14:paraId="440B5655">
      <w:pPr>
        <w:rPr>
          <w:rFonts w:hint="eastAsia" w:ascii="华文仿宋" w:hAnsi="华文仿宋" w:eastAsia="华文仿宋" w:cs="华文仿宋"/>
          <w:sz w:val="28"/>
          <w:szCs w:val="36"/>
        </w:rPr>
      </w:pPr>
      <w:r>
        <w:rPr>
          <w:rFonts w:hint="eastAsia" w:ascii="华文仿宋" w:hAnsi="华文仿宋" w:eastAsia="华文仿宋" w:cs="华文仿宋"/>
          <w:sz w:val="28"/>
          <w:szCs w:val="36"/>
          <w:lang w:val="en-US" w:eastAsia="zh-CN"/>
        </w:rPr>
        <w:t>4</w:t>
      </w:r>
      <w:r>
        <w:rPr>
          <w:rFonts w:hint="eastAsia" w:ascii="华文仿宋" w:hAnsi="华文仿宋" w:eastAsia="华文仿宋" w:cs="华文仿宋"/>
          <w:sz w:val="28"/>
          <w:szCs w:val="36"/>
        </w:rPr>
        <w:t>附表一 信息安全管理体系</w:t>
      </w:r>
      <w:r>
        <w:rPr>
          <w:rFonts w:hint="eastAsia" w:ascii="华文仿宋" w:hAnsi="华文仿宋" w:eastAsia="华文仿宋" w:cs="华文仿宋"/>
          <w:sz w:val="28"/>
          <w:szCs w:val="36"/>
          <w:lang w:val="en-US" w:eastAsia="zh-CN"/>
        </w:rPr>
        <w:t>/隐私信息</w:t>
      </w:r>
      <w:r>
        <w:rPr>
          <w:rFonts w:hint="eastAsia" w:ascii="华文仿宋" w:hAnsi="华文仿宋" w:eastAsia="华文仿宋" w:cs="华文仿宋"/>
          <w:sz w:val="28"/>
          <w:szCs w:val="36"/>
        </w:rPr>
        <w:t>/业务连续性管理体系认证客户基本信息；</w:t>
      </w:r>
    </w:p>
    <w:p w14:paraId="03FA4733">
      <w:pPr>
        <w:rPr>
          <w:rFonts w:hint="eastAsia" w:ascii="华文仿宋" w:hAnsi="华文仿宋" w:eastAsia="华文仿宋" w:cs="华文仿宋"/>
          <w:sz w:val="28"/>
          <w:szCs w:val="36"/>
        </w:rPr>
      </w:pPr>
      <w:r>
        <w:rPr>
          <w:rFonts w:hint="eastAsia" w:ascii="华文仿宋" w:hAnsi="华文仿宋" w:eastAsia="华文仿宋" w:cs="华文仿宋"/>
          <w:sz w:val="28"/>
          <w:szCs w:val="36"/>
          <w:lang w:val="en-US" w:eastAsia="zh-CN"/>
        </w:rPr>
        <w:t>5</w:t>
      </w:r>
      <w:r>
        <w:rPr>
          <w:rFonts w:hint="eastAsia" w:ascii="华文仿宋" w:hAnsi="华文仿宋" w:eastAsia="华文仿宋" w:cs="华文仿宋"/>
          <w:sz w:val="28"/>
          <w:szCs w:val="36"/>
        </w:rPr>
        <w:t>附表二 保密和敏感信息声明表；</w:t>
      </w:r>
    </w:p>
    <w:p w14:paraId="17482A04">
      <w:pPr>
        <w:rPr>
          <w:rFonts w:hint="eastAsia" w:ascii="华文仿宋" w:hAnsi="华文仿宋" w:eastAsia="华文仿宋" w:cs="华文仿宋"/>
          <w:sz w:val="28"/>
          <w:szCs w:val="36"/>
        </w:rPr>
      </w:pPr>
      <w:r>
        <w:rPr>
          <w:rFonts w:hint="eastAsia" w:ascii="华文仿宋" w:hAnsi="华文仿宋" w:eastAsia="华文仿宋" w:cs="华文仿宋"/>
          <w:sz w:val="28"/>
          <w:szCs w:val="36"/>
          <w:lang w:val="en-US" w:eastAsia="zh-CN"/>
        </w:rPr>
        <w:t>6</w:t>
      </w:r>
      <w:r>
        <w:rPr>
          <w:rFonts w:hint="eastAsia" w:ascii="华文仿宋" w:hAnsi="华文仿宋" w:eastAsia="华文仿宋" w:cs="华文仿宋"/>
          <w:sz w:val="28"/>
          <w:szCs w:val="36"/>
        </w:rPr>
        <w:t>适用时，提交临时场所（临时服务点）清单。</w:t>
      </w:r>
    </w:p>
    <w:p w14:paraId="7FBEE131">
      <w:pPr>
        <w:rPr>
          <w:rFonts w:hint="eastAsia" w:ascii="华文仿宋" w:hAnsi="华文仿宋" w:eastAsia="华文仿宋" w:cs="华文仿宋"/>
        </w:rPr>
      </w:pPr>
      <w:r>
        <w:rPr>
          <w:rFonts w:hint="eastAsia" w:ascii="华文仿宋" w:hAnsi="华文仿宋" w:eastAsia="华文仿宋" w:cs="华文仿宋"/>
        </w:rPr>
        <w:br w:type="page"/>
      </w:r>
    </w:p>
    <w:p w14:paraId="7AFA3382">
      <w:pPr>
        <w:spacing w:before="240" w:line="300" w:lineRule="auto"/>
        <w:rPr>
          <w:rFonts w:hint="eastAsia" w:ascii="华文仿宋" w:hAnsi="华文仿宋" w:eastAsia="华文仿宋" w:cs="华文仿宋"/>
          <w:b/>
          <w:sz w:val="21"/>
        </w:rPr>
      </w:pPr>
      <w:r>
        <w:rPr>
          <w:rFonts w:hint="eastAsia" w:ascii="华文仿宋" w:hAnsi="华文仿宋" w:eastAsia="华文仿宋" w:cs="华文仿宋"/>
          <w:b/>
          <w:sz w:val="21"/>
        </w:rPr>
        <w:t>附表一：信息安全</w:t>
      </w:r>
      <w:r>
        <w:rPr>
          <w:rFonts w:hint="eastAsia" w:ascii="华文仿宋" w:hAnsi="华文仿宋" w:eastAsia="华文仿宋" w:cs="华文仿宋"/>
          <w:b/>
          <w:sz w:val="21"/>
          <w:lang w:val="en-US" w:eastAsia="zh-CN"/>
        </w:rPr>
        <w:t>/隐私信息</w:t>
      </w:r>
      <w:r>
        <w:rPr>
          <w:rFonts w:hint="eastAsia" w:ascii="华文仿宋" w:hAnsi="华文仿宋" w:eastAsia="华文仿宋" w:cs="华文仿宋"/>
          <w:b/>
          <w:sz w:val="21"/>
        </w:rPr>
        <w:t>/业务连续性管理体系认证客户基本信息</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6"/>
        <w:gridCol w:w="2408"/>
        <w:gridCol w:w="5530"/>
      </w:tblGrid>
      <w:tr w14:paraId="48B2E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4" w:hRule="atLeast"/>
          <w:jc w:val="center"/>
        </w:trPr>
        <w:tc>
          <w:tcPr>
            <w:tcW w:w="1386" w:type="dxa"/>
            <w:vMerge w:val="restart"/>
            <w:shd w:val="clear" w:color="auto" w:fill="auto"/>
            <w:vAlign w:val="center"/>
          </w:tcPr>
          <w:p w14:paraId="2DEAD843">
            <w:pPr>
              <w:widowControl w:val="0"/>
              <w:spacing w:line="276" w:lineRule="auto"/>
              <w:jc w:val="center"/>
              <w:rPr>
                <w:rFonts w:hint="eastAsia" w:ascii="华文仿宋" w:hAnsi="华文仿宋" w:eastAsia="华文仿宋" w:cs="华文仿宋"/>
                <w:b/>
                <w:color w:val="000000"/>
                <w:sz w:val="21"/>
                <w:szCs w:val="21"/>
              </w:rPr>
            </w:pPr>
            <w:r>
              <w:rPr>
                <w:rFonts w:hint="eastAsia" w:ascii="华文仿宋" w:hAnsi="华文仿宋" w:eastAsia="华文仿宋" w:cs="华文仿宋"/>
                <w:b/>
                <w:color w:val="000000"/>
                <w:sz w:val="21"/>
                <w:szCs w:val="21"/>
              </w:rPr>
              <w:t>IT基础设施的复杂程度</w:t>
            </w:r>
          </w:p>
        </w:tc>
        <w:tc>
          <w:tcPr>
            <w:tcW w:w="2408" w:type="dxa"/>
            <w:shd w:val="clear" w:color="auto" w:fill="auto"/>
            <w:vAlign w:val="center"/>
          </w:tcPr>
          <w:p w14:paraId="7863DEDA">
            <w:pPr>
              <w:widowControl w:val="0"/>
              <w:spacing w:line="276" w:lineRule="auto"/>
              <w:jc w:val="center"/>
              <w:rPr>
                <w:rFonts w:hint="eastAsia" w:ascii="华文仿宋" w:hAnsi="华文仿宋" w:eastAsia="华文仿宋" w:cs="华文仿宋"/>
                <w:color w:val="000000"/>
                <w:sz w:val="21"/>
                <w:szCs w:val="21"/>
              </w:rPr>
            </w:pPr>
            <w:r>
              <w:rPr>
                <w:rFonts w:hint="eastAsia" w:ascii="华文仿宋" w:hAnsi="华文仿宋" w:eastAsia="华文仿宋" w:cs="华文仿宋"/>
                <w:color w:val="000000"/>
                <w:sz w:val="21"/>
                <w:szCs w:val="21"/>
              </w:rPr>
              <w:t>服务器数量</w:t>
            </w:r>
          </w:p>
          <w:p w14:paraId="315072C3">
            <w:pPr>
              <w:widowControl w:val="0"/>
              <w:spacing w:line="276" w:lineRule="auto"/>
              <w:jc w:val="center"/>
              <w:rPr>
                <w:rFonts w:hint="eastAsia" w:ascii="华文仿宋" w:hAnsi="华文仿宋" w:eastAsia="华文仿宋" w:cs="华文仿宋"/>
                <w:color w:val="000000"/>
                <w:sz w:val="21"/>
                <w:szCs w:val="21"/>
              </w:rPr>
            </w:pPr>
            <w:r>
              <w:rPr>
                <w:rFonts w:hint="eastAsia" w:ascii="华文仿宋" w:hAnsi="华文仿宋" w:eastAsia="华文仿宋" w:cs="华文仿宋"/>
                <w:color w:val="000000"/>
                <w:sz w:val="21"/>
                <w:szCs w:val="21"/>
              </w:rPr>
              <w:t>（按功能分类统计）</w:t>
            </w:r>
          </w:p>
        </w:tc>
        <w:tc>
          <w:tcPr>
            <w:tcW w:w="5530" w:type="dxa"/>
            <w:shd w:val="clear" w:color="auto" w:fill="auto"/>
            <w:vAlign w:val="center"/>
          </w:tcPr>
          <w:p w14:paraId="52B12E22">
            <w:pPr>
              <w:widowControl w:val="0"/>
              <w:spacing w:line="276" w:lineRule="auto"/>
              <w:rPr>
                <w:rFonts w:hint="eastAsia" w:ascii="华文仿宋" w:hAnsi="华文仿宋" w:eastAsia="华文仿宋" w:cs="华文仿宋"/>
                <w:color w:val="000000"/>
                <w:sz w:val="21"/>
                <w:szCs w:val="21"/>
              </w:rPr>
            </w:pPr>
          </w:p>
        </w:tc>
      </w:tr>
      <w:tr w14:paraId="6FAA6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5" w:hRule="atLeast"/>
          <w:jc w:val="center"/>
        </w:trPr>
        <w:tc>
          <w:tcPr>
            <w:tcW w:w="1386" w:type="dxa"/>
            <w:vMerge w:val="continue"/>
            <w:shd w:val="clear" w:color="auto" w:fill="auto"/>
            <w:vAlign w:val="center"/>
          </w:tcPr>
          <w:p w14:paraId="48FBBC14">
            <w:pPr>
              <w:widowControl w:val="0"/>
              <w:spacing w:line="276" w:lineRule="auto"/>
              <w:rPr>
                <w:rFonts w:hint="eastAsia" w:ascii="华文仿宋" w:hAnsi="华文仿宋" w:eastAsia="华文仿宋" w:cs="华文仿宋"/>
                <w:b/>
                <w:color w:val="000000"/>
                <w:sz w:val="21"/>
                <w:szCs w:val="21"/>
              </w:rPr>
            </w:pPr>
          </w:p>
        </w:tc>
        <w:tc>
          <w:tcPr>
            <w:tcW w:w="2408" w:type="dxa"/>
            <w:shd w:val="clear" w:color="auto" w:fill="auto"/>
            <w:vAlign w:val="center"/>
          </w:tcPr>
          <w:p w14:paraId="45870087">
            <w:pPr>
              <w:widowControl w:val="0"/>
              <w:spacing w:line="276" w:lineRule="auto"/>
              <w:jc w:val="center"/>
              <w:rPr>
                <w:rFonts w:hint="eastAsia" w:ascii="华文仿宋" w:hAnsi="华文仿宋" w:eastAsia="华文仿宋" w:cs="华文仿宋"/>
                <w:color w:val="000000"/>
                <w:sz w:val="21"/>
                <w:szCs w:val="21"/>
              </w:rPr>
            </w:pPr>
            <w:r>
              <w:rPr>
                <w:rFonts w:hint="eastAsia" w:ascii="华文仿宋" w:hAnsi="华文仿宋" w:eastAsia="华文仿宋" w:cs="华文仿宋"/>
                <w:color w:val="000000"/>
                <w:sz w:val="21"/>
                <w:szCs w:val="21"/>
              </w:rPr>
              <w:t>工作站+PC+便携式计算机的数量</w:t>
            </w:r>
          </w:p>
        </w:tc>
        <w:tc>
          <w:tcPr>
            <w:tcW w:w="5530" w:type="dxa"/>
            <w:shd w:val="clear" w:color="auto" w:fill="auto"/>
            <w:vAlign w:val="center"/>
          </w:tcPr>
          <w:p w14:paraId="5B57F1D5">
            <w:pPr>
              <w:widowControl w:val="0"/>
              <w:spacing w:line="276" w:lineRule="auto"/>
              <w:rPr>
                <w:rFonts w:hint="eastAsia" w:ascii="华文仿宋" w:hAnsi="华文仿宋" w:eastAsia="华文仿宋" w:cs="华文仿宋"/>
                <w:color w:val="000000"/>
                <w:sz w:val="21"/>
                <w:szCs w:val="21"/>
              </w:rPr>
            </w:pPr>
            <w:r>
              <w:rPr>
                <w:rFonts w:hint="eastAsia" w:ascii="华文仿宋" w:hAnsi="华文仿宋" w:eastAsia="华文仿宋" w:cs="华文仿宋"/>
                <w:color w:val="000000"/>
                <w:sz w:val="21"/>
                <w:szCs w:val="21"/>
              </w:rPr>
              <w:t>PC机数量：    ，便携式计算机数量：    ，</w:t>
            </w:r>
          </w:p>
          <w:p w14:paraId="71CDA89C">
            <w:pPr>
              <w:widowControl w:val="0"/>
              <w:spacing w:line="276" w:lineRule="auto"/>
              <w:rPr>
                <w:rFonts w:hint="eastAsia" w:ascii="华文仿宋" w:hAnsi="华文仿宋" w:eastAsia="华文仿宋" w:cs="华文仿宋"/>
                <w:color w:val="000000"/>
                <w:sz w:val="21"/>
                <w:szCs w:val="21"/>
              </w:rPr>
            </w:pPr>
            <w:r>
              <w:rPr>
                <w:rFonts w:hint="eastAsia" w:ascii="华文仿宋" w:hAnsi="华文仿宋" w:eastAsia="华文仿宋" w:cs="华文仿宋"/>
                <w:color w:val="000000"/>
                <w:sz w:val="21"/>
                <w:szCs w:val="21"/>
              </w:rPr>
              <w:t xml:space="preserve">用户数量：     </w:t>
            </w:r>
          </w:p>
        </w:tc>
      </w:tr>
      <w:tr w14:paraId="7D9DB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44" w:hRule="atLeast"/>
          <w:jc w:val="center"/>
        </w:trPr>
        <w:tc>
          <w:tcPr>
            <w:tcW w:w="1386" w:type="dxa"/>
            <w:vMerge w:val="continue"/>
            <w:shd w:val="clear" w:color="auto" w:fill="auto"/>
            <w:vAlign w:val="center"/>
          </w:tcPr>
          <w:p w14:paraId="20EF7BF5">
            <w:pPr>
              <w:widowControl w:val="0"/>
              <w:spacing w:line="276" w:lineRule="auto"/>
              <w:rPr>
                <w:rFonts w:hint="eastAsia" w:ascii="华文仿宋" w:hAnsi="华文仿宋" w:eastAsia="华文仿宋" w:cs="华文仿宋"/>
                <w:b/>
                <w:color w:val="000000"/>
                <w:sz w:val="21"/>
                <w:szCs w:val="21"/>
              </w:rPr>
            </w:pPr>
          </w:p>
        </w:tc>
        <w:tc>
          <w:tcPr>
            <w:tcW w:w="2408" w:type="dxa"/>
            <w:shd w:val="clear" w:color="auto" w:fill="auto"/>
            <w:vAlign w:val="center"/>
          </w:tcPr>
          <w:p w14:paraId="5D48240E">
            <w:pPr>
              <w:widowControl w:val="0"/>
              <w:spacing w:line="276" w:lineRule="auto"/>
              <w:rPr>
                <w:rFonts w:hint="eastAsia" w:ascii="华文仿宋" w:hAnsi="华文仿宋" w:eastAsia="华文仿宋" w:cs="华文仿宋"/>
                <w:color w:val="000000"/>
                <w:sz w:val="21"/>
                <w:szCs w:val="21"/>
              </w:rPr>
            </w:pPr>
            <w:r>
              <w:rPr>
                <w:rFonts w:hint="eastAsia" w:ascii="华文仿宋" w:hAnsi="华文仿宋" w:eastAsia="华文仿宋" w:cs="华文仿宋"/>
                <w:color w:val="000000"/>
                <w:sz w:val="21"/>
                <w:szCs w:val="21"/>
              </w:rPr>
              <w:t>网络与加密技术的使用</w:t>
            </w:r>
          </w:p>
        </w:tc>
        <w:tc>
          <w:tcPr>
            <w:tcW w:w="5530" w:type="dxa"/>
            <w:shd w:val="clear" w:color="auto" w:fill="auto"/>
            <w:vAlign w:val="center"/>
          </w:tcPr>
          <w:p w14:paraId="4ECF76E5">
            <w:pPr>
              <w:widowControl w:val="0"/>
              <w:spacing w:line="276" w:lineRule="auto"/>
              <w:ind w:left="-16" w:leftChars="-22" w:hanging="37" w:hangingChars="21"/>
              <w:rPr>
                <w:rFonts w:hint="eastAsia" w:ascii="华文仿宋" w:hAnsi="华文仿宋" w:eastAsia="华文仿宋" w:cs="华文仿宋"/>
                <w:color w:val="000000"/>
                <w:sz w:val="18"/>
                <w:szCs w:val="18"/>
              </w:rPr>
            </w:pPr>
            <w:r>
              <w:rPr>
                <w:rFonts w:hint="eastAsia" w:ascii="华文仿宋" w:hAnsi="华文仿宋" w:eastAsia="华文仿宋" w:cs="华文仿宋"/>
                <w:color w:val="000000"/>
                <w:sz w:val="18"/>
                <w:szCs w:val="18"/>
              </w:rPr>
              <w:t>□具有加密、数字签名和（或）PKI要求的外部和（或）内部连接；</w:t>
            </w:r>
          </w:p>
          <w:p w14:paraId="16846BC7">
            <w:pPr>
              <w:widowControl w:val="0"/>
              <w:spacing w:line="276" w:lineRule="auto"/>
              <w:ind w:left="164" w:leftChars="-22" w:hanging="217" w:hangingChars="121"/>
              <w:rPr>
                <w:rFonts w:hint="eastAsia" w:ascii="华文仿宋" w:hAnsi="华文仿宋" w:eastAsia="华文仿宋" w:cs="华文仿宋"/>
                <w:color w:val="000000"/>
                <w:sz w:val="18"/>
                <w:szCs w:val="18"/>
              </w:rPr>
            </w:pPr>
            <w:r>
              <w:rPr>
                <w:rFonts w:hint="eastAsia" w:ascii="华文仿宋" w:hAnsi="华文仿宋" w:eastAsia="华文仿宋" w:cs="华文仿宋"/>
                <w:color w:val="000000"/>
                <w:sz w:val="18"/>
                <w:szCs w:val="18"/>
              </w:rPr>
              <w:t>□具有使用标准加密设施而没有数字签名和PKI要求的外部和（或）内部连接；</w:t>
            </w:r>
          </w:p>
          <w:p w14:paraId="787FF10D">
            <w:pPr>
              <w:widowControl w:val="0"/>
              <w:spacing w:line="276" w:lineRule="auto"/>
              <w:ind w:left="-16" w:leftChars="-22" w:hanging="37" w:hangingChars="21"/>
              <w:rPr>
                <w:rFonts w:hint="eastAsia" w:ascii="华文仿宋" w:hAnsi="华文仿宋" w:eastAsia="华文仿宋" w:cs="华文仿宋"/>
                <w:color w:val="000000"/>
                <w:spacing w:val="-20"/>
                <w:sz w:val="18"/>
                <w:szCs w:val="18"/>
              </w:rPr>
            </w:pPr>
            <w:r>
              <w:rPr>
                <w:rFonts w:hint="eastAsia" w:ascii="华文仿宋" w:hAnsi="华文仿宋" w:eastAsia="华文仿宋" w:cs="华文仿宋"/>
                <w:color w:val="000000"/>
                <w:sz w:val="18"/>
                <w:szCs w:val="18"/>
              </w:rPr>
              <w:t>□没有加密、数字签名和PKI要求的外部和（或）内部连接；</w:t>
            </w:r>
          </w:p>
        </w:tc>
      </w:tr>
      <w:tr w14:paraId="44ADE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6" w:hRule="atLeast"/>
          <w:jc w:val="center"/>
        </w:trPr>
        <w:tc>
          <w:tcPr>
            <w:tcW w:w="3794" w:type="dxa"/>
            <w:gridSpan w:val="2"/>
            <w:shd w:val="clear" w:color="auto" w:fill="auto"/>
            <w:vAlign w:val="center"/>
          </w:tcPr>
          <w:p w14:paraId="49103AB0">
            <w:pPr>
              <w:widowControl w:val="0"/>
              <w:spacing w:line="276" w:lineRule="auto"/>
              <w:jc w:val="center"/>
              <w:rPr>
                <w:rFonts w:hint="eastAsia" w:ascii="华文仿宋" w:hAnsi="华文仿宋" w:eastAsia="华文仿宋" w:cs="华文仿宋"/>
                <w:b/>
                <w:color w:val="000000"/>
                <w:sz w:val="21"/>
                <w:szCs w:val="21"/>
              </w:rPr>
            </w:pPr>
            <w:r>
              <w:rPr>
                <w:rFonts w:hint="eastAsia" w:ascii="华文仿宋" w:hAnsi="华文仿宋" w:eastAsia="华文仿宋" w:cs="华文仿宋"/>
                <w:b/>
                <w:color w:val="000000"/>
                <w:sz w:val="21"/>
                <w:szCs w:val="21"/>
              </w:rPr>
              <w:t>相关人员数量</w:t>
            </w:r>
          </w:p>
        </w:tc>
        <w:tc>
          <w:tcPr>
            <w:tcW w:w="5530" w:type="dxa"/>
            <w:shd w:val="clear" w:color="auto" w:fill="auto"/>
            <w:vAlign w:val="center"/>
          </w:tcPr>
          <w:p w14:paraId="0A7BB15D">
            <w:pPr>
              <w:widowControl w:val="0"/>
              <w:spacing w:line="276" w:lineRule="auto"/>
              <w:ind w:left="-16" w:leftChars="-22" w:hanging="37" w:hangingChars="21"/>
              <w:rPr>
                <w:rFonts w:hint="eastAsia" w:ascii="华文仿宋" w:hAnsi="华文仿宋" w:eastAsia="华文仿宋" w:cs="华文仿宋"/>
                <w:color w:val="000000"/>
                <w:sz w:val="18"/>
                <w:szCs w:val="18"/>
              </w:rPr>
            </w:pPr>
            <w:r>
              <w:rPr>
                <w:rFonts w:hint="eastAsia" w:ascii="华文仿宋" w:hAnsi="华文仿宋" w:eastAsia="华文仿宋" w:cs="华文仿宋"/>
                <w:color w:val="000000"/>
                <w:sz w:val="18"/>
                <w:szCs w:val="18"/>
              </w:rPr>
              <w:t xml:space="preserve">应用开发人员数量：     ，运行维护人员数量：     </w:t>
            </w:r>
          </w:p>
          <w:p w14:paraId="1A686E67">
            <w:pPr>
              <w:widowControl w:val="0"/>
              <w:spacing w:line="276" w:lineRule="auto"/>
              <w:rPr>
                <w:rFonts w:hint="eastAsia" w:ascii="华文仿宋" w:hAnsi="华文仿宋" w:eastAsia="华文仿宋" w:cs="华文仿宋"/>
                <w:color w:val="000000"/>
                <w:sz w:val="18"/>
                <w:szCs w:val="18"/>
              </w:rPr>
            </w:pPr>
            <w:r>
              <w:rPr>
                <w:rFonts w:hint="eastAsia" w:ascii="华文仿宋" w:hAnsi="华文仿宋" w:eastAsia="华文仿宋" w:cs="华文仿宋"/>
                <w:color w:val="000000"/>
                <w:sz w:val="18"/>
                <w:szCs w:val="18"/>
              </w:rPr>
              <w:t xml:space="preserve">统一业务同一工作岗位的人员数量：     </w:t>
            </w:r>
          </w:p>
        </w:tc>
      </w:tr>
      <w:tr w14:paraId="41993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2" w:hRule="atLeast"/>
          <w:jc w:val="center"/>
        </w:trPr>
        <w:tc>
          <w:tcPr>
            <w:tcW w:w="1386" w:type="dxa"/>
            <w:vMerge w:val="restart"/>
            <w:shd w:val="clear" w:color="auto" w:fill="auto"/>
            <w:vAlign w:val="center"/>
          </w:tcPr>
          <w:p w14:paraId="588116AE">
            <w:pPr>
              <w:widowControl w:val="0"/>
              <w:spacing w:line="276" w:lineRule="auto"/>
              <w:jc w:val="center"/>
              <w:rPr>
                <w:rFonts w:hint="eastAsia" w:ascii="华文仿宋" w:hAnsi="华文仿宋" w:eastAsia="华文仿宋" w:cs="华文仿宋"/>
                <w:b/>
                <w:color w:val="000000"/>
                <w:sz w:val="21"/>
                <w:szCs w:val="21"/>
              </w:rPr>
            </w:pPr>
            <w:r>
              <w:rPr>
                <w:rFonts w:hint="eastAsia" w:ascii="华文仿宋" w:hAnsi="华文仿宋" w:eastAsia="华文仿宋" w:cs="华文仿宋"/>
                <w:b/>
                <w:color w:val="000000"/>
                <w:sz w:val="21"/>
                <w:szCs w:val="21"/>
              </w:rPr>
              <w:t>对外包和供应商（包括云服务）的依赖程度</w:t>
            </w:r>
          </w:p>
        </w:tc>
        <w:tc>
          <w:tcPr>
            <w:tcW w:w="2408" w:type="dxa"/>
            <w:shd w:val="clear" w:color="auto" w:fill="auto"/>
            <w:vAlign w:val="center"/>
          </w:tcPr>
          <w:p w14:paraId="40FD163C">
            <w:pPr>
              <w:widowControl w:val="0"/>
              <w:spacing w:line="276" w:lineRule="auto"/>
              <w:jc w:val="center"/>
              <w:rPr>
                <w:rFonts w:hint="eastAsia" w:ascii="华文仿宋" w:hAnsi="华文仿宋" w:eastAsia="华文仿宋" w:cs="华文仿宋"/>
                <w:color w:val="000000"/>
                <w:sz w:val="21"/>
                <w:szCs w:val="21"/>
              </w:rPr>
            </w:pPr>
            <w:r>
              <w:rPr>
                <w:rFonts w:hint="eastAsia" w:ascii="华文仿宋" w:hAnsi="华文仿宋" w:eastAsia="华文仿宋" w:cs="华文仿宋"/>
                <w:color w:val="000000"/>
                <w:sz w:val="21"/>
                <w:szCs w:val="21"/>
              </w:rPr>
              <w:t>重要业务所依赖的外包或供应商的数量</w:t>
            </w:r>
          </w:p>
        </w:tc>
        <w:tc>
          <w:tcPr>
            <w:tcW w:w="5530" w:type="dxa"/>
            <w:shd w:val="clear" w:color="auto" w:fill="auto"/>
            <w:vAlign w:val="center"/>
          </w:tcPr>
          <w:p w14:paraId="50C3C592">
            <w:pPr>
              <w:widowControl w:val="0"/>
              <w:spacing w:line="276" w:lineRule="auto"/>
              <w:rPr>
                <w:rFonts w:hint="eastAsia" w:ascii="华文仿宋" w:hAnsi="华文仿宋" w:eastAsia="华文仿宋" w:cs="华文仿宋"/>
                <w:color w:val="000000"/>
                <w:sz w:val="21"/>
                <w:szCs w:val="21"/>
              </w:rPr>
            </w:pPr>
          </w:p>
        </w:tc>
      </w:tr>
      <w:tr w14:paraId="5CADB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2" w:hRule="atLeast"/>
          <w:jc w:val="center"/>
        </w:trPr>
        <w:tc>
          <w:tcPr>
            <w:tcW w:w="1386" w:type="dxa"/>
            <w:vMerge w:val="continue"/>
            <w:shd w:val="clear" w:color="auto" w:fill="auto"/>
            <w:vAlign w:val="center"/>
          </w:tcPr>
          <w:p w14:paraId="1D921E40">
            <w:pPr>
              <w:widowControl w:val="0"/>
              <w:spacing w:line="276" w:lineRule="auto"/>
              <w:jc w:val="center"/>
              <w:rPr>
                <w:rFonts w:hint="eastAsia" w:ascii="华文仿宋" w:hAnsi="华文仿宋" w:eastAsia="华文仿宋" w:cs="华文仿宋"/>
                <w:b/>
                <w:color w:val="000000"/>
                <w:sz w:val="21"/>
                <w:szCs w:val="21"/>
              </w:rPr>
            </w:pPr>
          </w:p>
        </w:tc>
        <w:tc>
          <w:tcPr>
            <w:tcW w:w="2408" w:type="dxa"/>
            <w:shd w:val="clear" w:color="auto" w:fill="auto"/>
            <w:vAlign w:val="center"/>
          </w:tcPr>
          <w:p w14:paraId="723945E0">
            <w:pPr>
              <w:widowControl w:val="0"/>
              <w:spacing w:line="276" w:lineRule="auto"/>
              <w:jc w:val="center"/>
              <w:rPr>
                <w:rFonts w:hint="eastAsia" w:ascii="华文仿宋" w:hAnsi="华文仿宋" w:eastAsia="华文仿宋" w:cs="华文仿宋"/>
                <w:color w:val="000000"/>
                <w:sz w:val="21"/>
                <w:szCs w:val="21"/>
              </w:rPr>
            </w:pPr>
            <w:r>
              <w:rPr>
                <w:rFonts w:hint="eastAsia" w:ascii="华文仿宋" w:hAnsi="华文仿宋" w:eastAsia="华文仿宋" w:cs="华文仿宋"/>
                <w:color w:val="000000"/>
                <w:sz w:val="21"/>
                <w:szCs w:val="21"/>
              </w:rPr>
              <w:t>所依赖的云服务名称、作用、数量</w:t>
            </w:r>
          </w:p>
        </w:tc>
        <w:tc>
          <w:tcPr>
            <w:tcW w:w="5530" w:type="dxa"/>
            <w:shd w:val="clear" w:color="auto" w:fill="auto"/>
            <w:vAlign w:val="center"/>
          </w:tcPr>
          <w:p w14:paraId="579650DA">
            <w:pPr>
              <w:widowControl w:val="0"/>
              <w:spacing w:line="276" w:lineRule="auto"/>
              <w:rPr>
                <w:rFonts w:hint="eastAsia" w:ascii="华文仿宋" w:hAnsi="华文仿宋" w:eastAsia="华文仿宋" w:cs="华文仿宋"/>
                <w:color w:val="000000"/>
                <w:sz w:val="21"/>
                <w:szCs w:val="21"/>
              </w:rPr>
            </w:pPr>
          </w:p>
        </w:tc>
      </w:tr>
      <w:tr w14:paraId="23F8A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2" w:hRule="atLeast"/>
          <w:jc w:val="center"/>
        </w:trPr>
        <w:tc>
          <w:tcPr>
            <w:tcW w:w="1386" w:type="dxa"/>
            <w:vMerge w:val="restart"/>
            <w:shd w:val="clear" w:color="auto" w:fill="auto"/>
            <w:vAlign w:val="center"/>
          </w:tcPr>
          <w:p w14:paraId="10425133">
            <w:pPr>
              <w:widowControl w:val="0"/>
              <w:spacing w:line="276" w:lineRule="auto"/>
              <w:jc w:val="center"/>
              <w:rPr>
                <w:rFonts w:hint="eastAsia" w:ascii="华文仿宋" w:hAnsi="华文仿宋" w:eastAsia="华文仿宋" w:cs="华文仿宋"/>
                <w:b/>
                <w:color w:val="000000"/>
                <w:sz w:val="21"/>
                <w:szCs w:val="21"/>
              </w:rPr>
            </w:pPr>
            <w:r>
              <w:rPr>
                <w:rFonts w:hint="eastAsia" w:ascii="华文仿宋" w:hAnsi="华文仿宋" w:eastAsia="华文仿宋" w:cs="华文仿宋"/>
                <w:b/>
                <w:color w:val="000000"/>
                <w:sz w:val="21"/>
                <w:szCs w:val="21"/>
              </w:rPr>
              <w:t>信息系统</w:t>
            </w:r>
          </w:p>
          <w:p w14:paraId="3FFDDDC0">
            <w:pPr>
              <w:widowControl w:val="0"/>
              <w:spacing w:line="276" w:lineRule="auto"/>
              <w:jc w:val="center"/>
              <w:rPr>
                <w:rFonts w:hint="eastAsia" w:ascii="华文仿宋" w:hAnsi="华文仿宋" w:eastAsia="华文仿宋" w:cs="华文仿宋"/>
                <w:b/>
                <w:color w:val="000000"/>
                <w:sz w:val="21"/>
                <w:szCs w:val="21"/>
              </w:rPr>
            </w:pPr>
            <w:r>
              <w:rPr>
                <w:rFonts w:hint="eastAsia" w:ascii="华文仿宋" w:hAnsi="华文仿宋" w:eastAsia="华文仿宋" w:cs="华文仿宋"/>
                <w:b/>
                <w:color w:val="000000"/>
                <w:sz w:val="21"/>
                <w:szCs w:val="21"/>
              </w:rPr>
              <w:t>（平台）</w:t>
            </w:r>
          </w:p>
        </w:tc>
        <w:tc>
          <w:tcPr>
            <w:tcW w:w="2408" w:type="dxa"/>
            <w:shd w:val="clear" w:color="auto" w:fill="auto"/>
            <w:vAlign w:val="center"/>
          </w:tcPr>
          <w:p w14:paraId="4B9AB488">
            <w:pPr>
              <w:widowControl w:val="0"/>
              <w:spacing w:line="276" w:lineRule="auto"/>
              <w:jc w:val="center"/>
              <w:rPr>
                <w:rFonts w:hint="eastAsia" w:ascii="华文仿宋" w:hAnsi="华文仿宋" w:eastAsia="华文仿宋" w:cs="华文仿宋"/>
                <w:color w:val="000000"/>
                <w:sz w:val="21"/>
                <w:szCs w:val="21"/>
              </w:rPr>
            </w:pPr>
            <w:r>
              <w:rPr>
                <w:rFonts w:hint="eastAsia" w:ascii="华文仿宋" w:hAnsi="华文仿宋" w:eastAsia="华文仿宋" w:cs="华文仿宋"/>
                <w:color w:val="000000"/>
                <w:sz w:val="21"/>
                <w:szCs w:val="21"/>
              </w:rPr>
              <w:t>信息系统的功能、数量</w:t>
            </w:r>
          </w:p>
        </w:tc>
        <w:tc>
          <w:tcPr>
            <w:tcW w:w="5530" w:type="dxa"/>
            <w:shd w:val="clear" w:color="auto" w:fill="auto"/>
            <w:vAlign w:val="center"/>
          </w:tcPr>
          <w:p w14:paraId="0C2CB9C5">
            <w:pPr>
              <w:widowControl w:val="0"/>
              <w:spacing w:line="276" w:lineRule="auto"/>
              <w:rPr>
                <w:rFonts w:hint="eastAsia" w:ascii="华文仿宋" w:hAnsi="华文仿宋" w:eastAsia="华文仿宋" w:cs="华文仿宋"/>
                <w:color w:val="000000"/>
                <w:sz w:val="21"/>
                <w:szCs w:val="21"/>
              </w:rPr>
            </w:pPr>
          </w:p>
        </w:tc>
      </w:tr>
      <w:tr w14:paraId="21B22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2" w:hRule="atLeast"/>
          <w:jc w:val="center"/>
        </w:trPr>
        <w:tc>
          <w:tcPr>
            <w:tcW w:w="1386" w:type="dxa"/>
            <w:vMerge w:val="continue"/>
            <w:shd w:val="clear" w:color="auto" w:fill="auto"/>
            <w:vAlign w:val="center"/>
          </w:tcPr>
          <w:p w14:paraId="2B6C7255">
            <w:pPr>
              <w:widowControl w:val="0"/>
              <w:spacing w:line="276" w:lineRule="auto"/>
              <w:rPr>
                <w:rFonts w:hint="eastAsia" w:ascii="华文仿宋" w:hAnsi="华文仿宋" w:eastAsia="华文仿宋" w:cs="华文仿宋"/>
                <w:color w:val="000000"/>
                <w:sz w:val="21"/>
                <w:szCs w:val="21"/>
              </w:rPr>
            </w:pPr>
          </w:p>
        </w:tc>
        <w:tc>
          <w:tcPr>
            <w:tcW w:w="2408" w:type="dxa"/>
            <w:shd w:val="clear" w:color="auto" w:fill="auto"/>
            <w:vAlign w:val="center"/>
          </w:tcPr>
          <w:p w14:paraId="4FB6DA0C">
            <w:pPr>
              <w:widowControl w:val="0"/>
              <w:spacing w:line="276" w:lineRule="auto"/>
              <w:jc w:val="center"/>
              <w:rPr>
                <w:rFonts w:hint="eastAsia" w:ascii="华文仿宋" w:hAnsi="华文仿宋" w:eastAsia="华文仿宋" w:cs="华文仿宋"/>
                <w:color w:val="000000"/>
                <w:sz w:val="21"/>
                <w:szCs w:val="21"/>
              </w:rPr>
            </w:pPr>
            <w:r>
              <w:rPr>
                <w:rFonts w:hint="eastAsia" w:ascii="华文仿宋" w:hAnsi="华文仿宋" w:eastAsia="华文仿宋" w:cs="华文仿宋"/>
                <w:color w:val="000000"/>
                <w:sz w:val="21"/>
                <w:szCs w:val="21"/>
              </w:rPr>
              <w:t>信息系统的获取方式（自主开发/外包开发）</w:t>
            </w:r>
          </w:p>
        </w:tc>
        <w:tc>
          <w:tcPr>
            <w:tcW w:w="5530" w:type="dxa"/>
            <w:shd w:val="clear" w:color="auto" w:fill="auto"/>
            <w:vAlign w:val="center"/>
          </w:tcPr>
          <w:p w14:paraId="5CB1F3A9">
            <w:pPr>
              <w:widowControl w:val="0"/>
              <w:spacing w:line="276" w:lineRule="auto"/>
              <w:ind w:left="191" w:hanging="190" w:hangingChars="106"/>
              <w:rPr>
                <w:rFonts w:hint="eastAsia" w:ascii="华文仿宋" w:hAnsi="华文仿宋" w:eastAsia="华文仿宋" w:cs="华文仿宋"/>
                <w:color w:val="000000"/>
                <w:sz w:val="18"/>
                <w:szCs w:val="18"/>
              </w:rPr>
            </w:pPr>
            <w:r>
              <w:rPr>
                <w:rFonts w:hint="eastAsia" w:ascii="华文仿宋" w:hAnsi="华文仿宋" w:eastAsia="华文仿宋" w:cs="华文仿宋"/>
                <w:color w:val="000000"/>
                <w:sz w:val="18"/>
                <w:szCs w:val="18"/>
              </w:rPr>
              <w:t>□自主开发    □直接采购产品    □外包开发</w:t>
            </w:r>
          </w:p>
        </w:tc>
      </w:tr>
      <w:tr w14:paraId="132AA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2" w:hRule="atLeast"/>
          <w:jc w:val="center"/>
        </w:trPr>
        <w:tc>
          <w:tcPr>
            <w:tcW w:w="3794" w:type="dxa"/>
            <w:gridSpan w:val="2"/>
            <w:shd w:val="clear" w:color="auto" w:fill="auto"/>
            <w:vAlign w:val="center"/>
          </w:tcPr>
          <w:p w14:paraId="3DD0E5DE">
            <w:pPr>
              <w:widowControl w:val="0"/>
              <w:spacing w:line="276" w:lineRule="auto"/>
              <w:jc w:val="center"/>
              <w:rPr>
                <w:rFonts w:hint="eastAsia" w:ascii="华文仿宋" w:hAnsi="华文仿宋" w:eastAsia="华文仿宋" w:cs="华文仿宋"/>
                <w:b/>
                <w:color w:val="000000"/>
                <w:sz w:val="21"/>
                <w:szCs w:val="21"/>
              </w:rPr>
            </w:pPr>
            <w:r>
              <w:rPr>
                <w:rFonts w:hint="eastAsia" w:ascii="华文仿宋" w:hAnsi="华文仿宋" w:eastAsia="华文仿宋" w:cs="华文仿宋"/>
                <w:b/>
                <w:color w:val="000000"/>
                <w:sz w:val="21"/>
                <w:szCs w:val="21"/>
              </w:rPr>
              <w:t>可用性与灾难恢复要求</w:t>
            </w:r>
          </w:p>
        </w:tc>
        <w:tc>
          <w:tcPr>
            <w:tcW w:w="5530" w:type="dxa"/>
            <w:shd w:val="clear" w:color="auto" w:fill="auto"/>
            <w:vAlign w:val="center"/>
          </w:tcPr>
          <w:p w14:paraId="59DD49E4">
            <w:pPr>
              <w:widowControl w:val="0"/>
              <w:spacing w:line="276" w:lineRule="auto"/>
              <w:rPr>
                <w:rFonts w:hint="eastAsia" w:ascii="华文仿宋" w:hAnsi="华文仿宋" w:eastAsia="华文仿宋" w:cs="华文仿宋"/>
                <w:color w:val="000000"/>
                <w:sz w:val="18"/>
                <w:szCs w:val="18"/>
              </w:rPr>
            </w:pPr>
            <w:r>
              <w:rPr>
                <w:rFonts w:hint="eastAsia" w:ascii="华文仿宋" w:hAnsi="华文仿宋" w:eastAsia="华文仿宋" w:cs="华文仿宋"/>
                <w:color w:val="000000"/>
                <w:sz w:val="18"/>
                <w:szCs w:val="18"/>
              </w:rPr>
              <w:t>□较低要求；□中等或高的要求；□高要求，必须有灾难恢复场所</w:t>
            </w:r>
          </w:p>
        </w:tc>
      </w:tr>
    </w:tbl>
    <w:p w14:paraId="77806567">
      <w:pPr>
        <w:spacing w:before="240" w:line="300" w:lineRule="auto"/>
        <w:rPr>
          <w:rFonts w:hint="eastAsia" w:ascii="华文仿宋" w:hAnsi="华文仿宋" w:eastAsia="华文仿宋" w:cs="华文仿宋"/>
          <w:b/>
          <w:sz w:val="21"/>
        </w:rPr>
      </w:pPr>
      <w:r>
        <w:rPr>
          <w:rFonts w:hint="eastAsia" w:ascii="华文仿宋" w:hAnsi="华文仿宋" w:eastAsia="华文仿宋" w:cs="华文仿宋"/>
          <w:b/>
          <w:sz w:val="21"/>
        </w:rPr>
        <w:t>附表二：保密和敏感信息声明表</w:t>
      </w:r>
    </w:p>
    <w:tbl>
      <w:tblPr>
        <w:tblStyle w:val="4"/>
        <w:tblW w:w="93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3686"/>
        <w:gridCol w:w="4973"/>
      </w:tblGrid>
      <w:tr w14:paraId="636D3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04" w:type="dxa"/>
            <w:shd w:val="clear" w:color="auto" w:fill="auto"/>
          </w:tcPr>
          <w:p w14:paraId="3518B410">
            <w:pPr>
              <w:widowControl w:val="0"/>
              <w:spacing w:before="25" w:after="25" w:line="240" w:lineRule="auto"/>
              <w:jc w:val="center"/>
              <w:rPr>
                <w:rFonts w:hint="eastAsia" w:ascii="华文仿宋" w:hAnsi="华文仿宋" w:eastAsia="华文仿宋" w:cs="华文仿宋"/>
                <w:b/>
                <w:color w:val="000000"/>
                <w:sz w:val="21"/>
                <w:szCs w:val="21"/>
              </w:rPr>
            </w:pPr>
            <w:r>
              <w:rPr>
                <w:rFonts w:hint="eastAsia" w:ascii="华文仿宋" w:hAnsi="华文仿宋" w:eastAsia="华文仿宋" w:cs="华文仿宋"/>
                <w:b/>
                <w:color w:val="000000"/>
                <w:sz w:val="21"/>
                <w:szCs w:val="21"/>
              </w:rPr>
              <w:t>序号</w:t>
            </w:r>
          </w:p>
        </w:tc>
        <w:tc>
          <w:tcPr>
            <w:tcW w:w="3686" w:type="dxa"/>
            <w:shd w:val="clear" w:color="auto" w:fill="auto"/>
          </w:tcPr>
          <w:p w14:paraId="23A5ABC3">
            <w:pPr>
              <w:widowControl w:val="0"/>
              <w:spacing w:before="25" w:after="25" w:line="240" w:lineRule="auto"/>
              <w:jc w:val="center"/>
              <w:rPr>
                <w:rFonts w:hint="eastAsia" w:ascii="华文仿宋" w:hAnsi="华文仿宋" w:eastAsia="华文仿宋" w:cs="华文仿宋"/>
                <w:b/>
                <w:color w:val="000000"/>
                <w:sz w:val="21"/>
                <w:szCs w:val="21"/>
              </w:rPr>
            </w:pPr>
            <w:r>
              <w:rPr>
                <w:rFonts w:hint="eastAsia" w:ascii="华文仿宋" w:hAnsi="华文仿宋" w:eastAsia="华文仿宋" w:cs="华文仿宋"/>
                <w:b/>
                <w:color w:val="000000"/>
                <w:sz w:val="21"/>
                <w:szCs w:val="21"/>
              </w:rPr>
              <w:t>保密和敏感信息资产和（或）区域</w:t>
            </w:r>
          </w:p>
        </w:tc>
        <w:tc>
          <w:tcPr>
            <w:tcW w:w="4973" w:type="dxa"/>
            <w:shd w:val="clear" w:color="auto" w:fill="auto"/>
          </w:tcPr>
          <w:p w14:paraId="77FC8A8C">
            <w:pPr>
              <w:widowControl w:val="0"/>
              <w:spacing w:before="25" w:after="25" w:line="240" w:lineRule="auto"/>
              <w:jc w:val="center"/>
              <w:rPr>
                <w:rFonts w:hint="eastAsia" w:ascii="华文仿宋" w:hAnsi="华文仿宋" w:eastAsia="华文仿宋" w:cs="华文仿宋"/>
                <w:b/>
                <w:color w:val="000000"/>
                <w:sz w:val="21"/>
                <w:szCs w:val="21"/>
              </w:rPr>
            </w:pPr>
            <w:r>
              <w:rPr>
                <w:rFonts w:hint="eastAsia" w:ascii="华文仿宋" w:hAnsi="华文仿宋" w:eastAsia="华文仿宋" w:cs="华文仿宋"/>
                <w:b/>
                <w:color w:val="000000"/>
                <w:sz w:val="21"/>
                <w:szCs w:val="21"/>
              </w:rPr>
              <w:t>认证机构是否可接触及接触要求</w:t>
            </w:r>
          </w:p>
        </w:tc>
      </w:tr>
      <w:tr w14:paraId="5ACFD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04" w:type="dxa"/>
            <w:shd w:val="clear" w:color="auto" w:fill="auto"/>
          </w:tcPr>
          <w:p w14:paraId="02BE7F9A">
            <w:pPr>
              <w:widowControl w:val="0"/>
              <w:spacing w:before="25" w:after="25" w:line="240" w:lineRule="auto"/>
              <w:jc w:val="center"/>
              <w:rPr>
                <w:rFonts w:hint="eastAsia" w:ascii="华文仿宋" w:hAnsi="华文仿宋" w:eastAsia="华文仿宋" w:cs="华文仿宋"/>
                <w:color w:val="000000"/>
                <w:sz w:val="21"/>
                <w:szCs w:val="21"/>
              </w:rPr>
            </w:pPr>
          </w:p>
        </w:tc>
        <w:tc>
          <w:tcPr>
            <w:tcW w:w="3686" w:type="dxa"/>
            <w:shd w:val="clear" w:color="auto" w:fill="auto"/>
          </w:tcPr>
          <w:p w14:paraId="71AC8A7C">
            <w:pPr>
              <w:widowControl w:val="0"/>
              <w:spacing w:before="25" w:after="25" w:line="240" w:lineRule="auto"/>
              <w:rPr>
                <w:rFonts w:hint="eastAsia" w:ascii="华文仿宋" w:hAnsi="华文仿宋" w:eastAsia="华文仿宋" w:cs="华文仿宋"/>
                <w:color w:val="000000"/>
                <w:sz w:val="21"/>
                <w:szCs w:val="21"/>
              </w:rPr>
            </w:pPr>
          </w:p>
        </w:tc>
        <w:tc>
          <w:tcPr>
            <w:tcW w:w="4973" w:type="dxa"/>
            <w:shd w:val="clear" w:color="auto" w:fill="auto"/>
          </w:tcPr>
          <w:p w14:paraId="22878917">
            <w:pPr>
              <w:widowControl w:val="0"/>
              <w:spacing w:before="25" w:after="25" w:line="240" w:lineRule="auto"/>
              <w:rPr>
                <w:rFonts w:hint="eastAsia" w:ascii="华文仿宋" w:hAnsi="华文仿宋" w:eastAsia="华文仿宋" w:cs="华文仿宋"/>
                <w:color w:val="000000"/>
                <w:sz w:val="21"/>
                <w:szCs w:val="21"/>
              </w:rPr>
            </w:pPr>
          </w:p>
        </w:tc>
      </w:tr>
      <w:tr w14:paraId="2AB6D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04" w:type="dxa"/>
            <w:shd w:val="clear" w:color="auto" w:fill="auto"/>
          </w:tcPr>
          <w:p w14:paraId="2D7538AE">
            <w:pPr>
              <w:widowControl w:val="0"/>
              <w:spacing w:before="25" w:after="25" w:line="240" w:lineRule="auto"/>
              <w:jc w:val="center"/>
              <w:rPr>
                <w:rFonts w:hint="eastAsia" w:ascii="华文仿宋" w:hAnsi="华文仿宋" w:eastAsia="华文仿宋" w:cs="华文仿宋"/>
                <w:color w:val="000000"/>
                <w:sz w:val="21"/>
                <w:szCs w:val="21"/>
              </w:rPr>
            </w:pPr>
          </w:p>
        </w:tc>
        <w:tc>
          <w:tcPr>
            <w:tcW w:w="3686" w:type="dxa"/>
            <w:shd w:val="clear" w:color="auto" w:fill="auto"/>
          </w:tcPr>
          <w:p w14:paraId="21BA3E4E">
            <w:pPr>
              <w:widowControl w:val="0"/>
              <w:spacing w:before="25" w:after="25" w:line="240" w:lineRule="auto"/>
              <w:rPr>
                <w:rFonts w:hint="eastAsia" w:ascii="华文仿宋" w:hAnsi="华文仿宋" w:eastAsia="华文仿宋" w:cs="华文仿宋"/>
                <w:color w:val="000000"/>
                <w:sz w:val="21"/>
                <w:szCs w:val="21"/>
              </w:rPr>
            </w:pPr>
          </w:p>
        </w:tc>
        <w:tc>
          <w:tcPr>
            <w:tcW w:w="4973" w:type="dxa"/>
            <w:shd w:val="clear" w:color="auto" w:fill="auto"/>
          </w:tcPr>
          <w:p w14:paraId="4735CF27">
            <w:pPr>
              <w:widowControl w:val="0"/>
              <w:spacing w:before="25" w:after="25" w:line="240" w:lineRule="auto"/>
              <w:rPr>
                <w:rFonts w:hint="eastAsia" w:ascii="华文仿宋" w:hAnsi="华文仿宋" w:eastAsia="华文仿宋" w:cs="华文仿宋"/>
                <w:color w:val="000000"/>
                <w:sz w:val="21"/>
                <w:szCs w:val="21"/>
              </w:rPr>
            </w:pPr>
          </w:p>
        </w:tc>
      </w:tr>
      <w:tr w14:paraId="2C87E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04" w:type="dxa"/>
            <w:shd w:val="clear" w:color="auto" w:fill="auto"/>
          </w:tcPr>
          <w:p w14:paraId="65614C2B">
            <w:pPr>
              <w:widowControl w:val="0"/>
              <w:spacing w:before="25" w:after="25" w:line="240" w:lineRule="auto"/>
              <w:jc w:val="center"/>
              <w:rPr>
                <w:rFonts w:hint="eastAsia" w:ascii="华文仿宋" w:hAnsi="华文仿宋" w:eastAsia="华文仿宋" w:cs="华文仿宋"/>
                <w:color w:val="000000"/>
                <w:sz w:val="21"/>
                <w:szCs w:val="21"/>
              </w:rPr>
            </w:pPr>
          </w:p>
        </w:tc>
        <w:tc>
          <w:tcPr>
            <w:tcW w:w="3686" w:type="dxa"/>
            <w:shd w:val="clear" w:color="auto" w:fill="auto"/>
          </w:tcPr>
          <w:p w14:paraId="70D27BA7">
            <w:pPr>
              <w:widowControl w:val="0"/>
              <w:spacing w:before="25" w:after="25" w:line="240" w:lineRule="auto"/>
              <w:rPr>
                <w:rFonts w:hint="eastAsia" w:ascii="华文仿宋" w:hAnsi="华文仿宋" w:eastAsia="华文仿宋" w:cs="华文仿宋"/>
                <w:color w:val="000000"/>
                <w:sz w:val="21"/>
                <w:szCs w:val="21"/>
              </w:rPr>
            </w:pPr>
          </w:p>
        </w:tc>
        <w:tc>
          <w:tcPr>
            <w:tcW w:w="4973" w:type="dxa"/>
            <w:shd w:val="clear" w:color="auto" w:fill="auto"/>
          </w:tcPr>
          <w:p w14:paraId="50DC8D14">
            <w:pPr>
              <w:widowControl w:val="0"/>
              <w:spacing w:before="25" w:after="25" w:line="240" w:lineRule="auto"/>
              <w:rPr>
                <w:rFonts w:hint="eastAsia" w:ascii="华文仿宋" w:hAnsi="华文仿宋" w:eastAsia="华文仿宋" w:cs="华文仿宋"/>
                <w:color w:val="000000"/>
                <w:sz w:val="21"/>
                <w:szCs w:val="21"/>
              </w:rPr>
            </w:pPr>
          </w:p>
        </w:tc>
      </w:tr>
      <w:tr w14:paraId="0A363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04" w:type="dxa"/>
            <w:shd w:val="clear" w:color="auto" w:fill="auto"/>
          </w:tcPr>
          <w:p w14:paraId="2B15DF02">
            <w:pPr>
              <w:widowControl w:val="0"/>
              <w:spacing w:before="25" w:after="25" w:line="240" w:lineRule="auto"/>
              <w:jc w:val="center"/>
              <w:rPr>
                <w:rFonts w:hint="eastAsia" w:ascii="华文仿宋" w:hAnsi="华文仿宋" w:eastAsia="华文仿宋" w:cs="华文仿宋"/>
                <w:color w:val="000000"/>
                <w:sz w:val="21"/>
                <w:szCs w:val="21"/>
              </w:rPr>
            </w:pPr>
          </w:p>
        </w:tc>
        <w:tc>
          <w:tcPr>
            <w:tcW w:w="3686" w:type="dxa"/>
            <w:shd w:val="clear" w:color="auto" w:fill="auto"/>
          </w:tcPr>
          <w:p w14:paraId="6EC2728A">
            <w:pPr>
              <w:widowControl w:val="0"/>
              <w:spacing w:before="25" w:after="25" w:line="240" w:lineRule="auto"/>
              <w:rPr>
                <w:rFonts w:hint="eastAsia" w:ascii="华文仿宋" w:hAnsi="华文仿宋" w:eastAsia="华文仿宋" w:cs="华文仿宋"/>
                <w:color w:val="000000"/>
                <w:sz w:val="21"/>
                <w:szCs w:val="21"/>
              </w:rPr>
            </w:pPr>
          </w:p>
        </w:tc>
        <w:tc>
          <w:tcPr>
            <w:tcW w:w="4973" w:type="dxa"/>
            <w:shd w:val="clear" w:color="auto" w:fill="auto"/>
          </w:tcPr>
          <w:p w14:paraId="54CE1179">
            <w:pPr>
              <w:widowControl w:val="0"/>
              <w:spacing w:before="25" w:after="25" w:line="240" w:lineRule="auto"/>
              <w:rPr>
                <w:rFonts w:hint="eastAsia" w:ascii="华文仿宋" w:hAnsi="华文仿宋" w:eastAsia="华文仿宋" w:cs="华文仿宋"/>
                <w:color w:val="000000"/>
                <w:sz w:val="21"/>
                <w:szCs w:val="21"/>
              </w:rPr>
            </w:pPr>
          </w:p>
        </w:tc>
      </w:tr>
      <w:tr w14:paraId="59783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04" w:type="dxa"/>
            <w:shd w:val="clear" w:color="auto" w:fill="auto"/>
          </w:tcPr>
          <w:p w14:paraId="350B396B">
            <w:pPr>
              <w:widowControl w:val="0"/>
              <w:spacing w:before="25" w:after="25" w:line="240" w:lineRule="auto"/>
              <w:jc w:val="center"/>
              <w:rPr>
                <w:rFonts w:hint="eastAsia" w:ascii="华文仿宋" w:hAnsi="华文仿宋" w:eastAsia="华文仿宋" w:cs="华文仿宋"/>
                <w:color w:val="000000"/>
                <w:sz w:val="21"/>
                <w:szCs w:val="21"/>
              </w:rPr>
            </w:pPr>
          </w:p>
        </w:tc>
        <w:tc>
          <w:tcPr>
            <w:tcW w:w="3686" w:type="dxa"/>
            <w:shd w:val="clear" w:color="auto" w:fill="auto"/>
          </w:tcPr>
          <w:p w14:paraId="7263E1BF">
            <w:pPr>
              <w:widowControl w:val="0"/>
              <w:spacing w:before="25" w:after="25" w:line="240" w:lineRule="auto"/>
              <w:rPr>
                <w:rFonts w:hint="eastAsia" w:ascii="华文仿宋" w:hAnsi="华文仿宋" w:eastAsia="华文仿宋" w:cs="华文仿宋"/>
                <w:color w:val="000000"/>
                <w:sz w:val="21"/>
                <w:szCs w:val="21"/>
              </w:rPr>
            </w:pPr>
          </w:p>
        </w:tc>
        <w:tc>
          <w:tcPr>
            <w:tcW w:w="4973" w:type="dxa"/>
            <w:shd w:val="clear" w:color="auto" w:fill="auto"/>
          </w:tcPr>
          <w:p w14:paraId="261914BD">
            <w:pPr>
              <w:widowControl w:val="0"/>
              <w:spacing w:before="25" w:after="25" w:line="240" w:lineRule="auto"/>
              <w:rPr>
                <w:rFonts w:hint="eastAsia" w:ascii="华文仿宋" w:hAnsi="华文仿宋" w:eastAsia="华文仿宋" w:cs="华文仿宋"/>
                <w:color w:val="000000"/>
                <w:sz w:val="21"/>
                <w:szCs w:val="21"/>
              </w:rPr>
            </w:pPr>
          </w:p>
        </w:tc>
      </w:tr>
    </w:tbl>
    <w:p w14:paraId="10FB06DD">
      <w:pPr>
        <w:rPr>
          <w:rFonts w:hint="eastAsia" w:ascii="华文仿宋" w:hAnsi="华文仿宋" w:eastAsia="华文仿宋" w:cs="华文仿宋"/>
          <w:sz w:val="21"/>
          <w:szCs w:val="21"/>
        </w:rPr>
      </w:pPr>
      <w:r>
        <w:rPr>
          <w:rFonts w:hint="eastAsia" w:ascii="华文仿宋" w:hAnsi="华文仿宋" w:eastAsia="华文仿宋" w:cs="华文仿宋"/>
          <w:sz w:val="21"/>
          <w:szCs w:val="21"/>
        </w:rPr>
        <w:t>备注：</w:t>
      </w:r>
    </w:p>
    <w:p w14:paraId="2E2A5B09">
      <w:pPr>
        <w:pStyle w:val="6"/>
        <w:numPr>
          <w:ilvl w:val="3"/>
          <w:numId w:val="1"/>
        </w:numPr>
        <w:ind w:left="426" w:firstLineChars="0"/>
        <w:rPr>
          <w:rFonts w:hint="eastAsia" w:ascii="华文仿宋" w:hAnsi="华文仿宋" w:eastAsia="华文仿宋" w:cs="华文仿宋"/>
          <w:sz w:val="21"/>
          <w:szCs w:val="21"/>
        </w:rPr>
      </w:pPr>
      <w:r>
        <w:rPr>
          <w:rFonts w:hint="eastAsia" w:ascii="华文仿宋" w:hAnsi="华文仿宋" w:eastAsia="华文仿宋" w:cs="华文仿宋"/>
          <w:sz w:val="21"/>
          <w:szCs w:val="21"/>
        </w:rPr>
        <w:t>如果因未获得组织的允许或无法满足适用的要求而不能接触相关信息资产，可能导致终止审核、缩小审核和认证的范围等结果。</w:t>
      </w:r>
    </w:p>
    <w:p w14:paraId="6B30CD78">
      <w:pPr>
        <w:pStyle w:val="6"/>
        <w:numPr>
          <w:ilvl w:val="3"/>
          <w:numId w:val="1"/>
        </w:numPr>
        <w:ind w:left="426" w:firstLineChars="0"/>
        <w:rPr>
          <w:rFonts w:hint="eastAsia" w:ascii="华文仿宋" w:hAnsi="华文仿宋" w:eastAsia="华文仿宋" w:cs="华文仿宋"/>
          <w:sz w:val="21"/>
          <w:szCs w:val="21"/>
        </w:rPr>
      </w:pPr>
      <w:r>
        <w:rPr>
          <w:rFonts w:hint="eastAsia" w:ascii="华文仿宋" w:hAnsi="华文仿宋" w:eastAsia="华文仿宋" w:cs="华文仿宋"/>
          <w:sz w:val="21"/>
          <w:szCs w:val="21"/>
        </w:rPr>
        <w:t>如果组织事先没有禁止接触某一信息资产，或未告知应满足的要求，在认证过程中发现我公司不具备接触该信息资产的资格和条件，我公司将告知组织，此种情况可能导致终止审核、缩小审核和认证的范围等结果。</w:t>
      </w:r>
    </w:p>
    <w:p w14:paraId="5B2B7108">
      <w:pPr>
        <w:pStyle w:val="6"/>
        <w:numPr>
          <w:ilvl w:val="3"/>
          <w:numId w:val="1"/>
        </w:numPr>
        <w:ind w:left="426" w:firstLineChars="0"/>
        <w:rPr>
          <w:rFonts w:hint="eastAsia" w:ascii="华文仿宋" w:hAnsi="华文仿宋" w:eastAsia="华文仿宋" w:cs="华文仿宋"/>
        </w:rPr>
      </w:pPr>
      <w:r>
        <w:rPr>
          <w:rFonts w:hint="eastAsia" w:ascii="华文仿宋" w:hAnsi="华文仿宋" w:eastAsia="华文仿宋" w:cs="华文仿宋"/>
          <w:sz w:val="21"/>
          <w:szCs w:val="21"/>
        </w:rPr>
        <w:t>接触要求：法律要求、相关方要求、组织自身要求。</w:t>
      </w:r>
    </w:p>
    <w:sectPr>
      <w:headerReference r:id="rId5" w:type="default"/>
      <w:pgSz w:w="11906" w:h="16838"/>
      <w:pgMar w:top="1440" w:right="1080" w:bottom="1440" w:left="108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仿宋">
    <w:panose1 w:val="02010600040101010101"/>
    <w:charset w:val="86"/>
    <w:family w:val="auto"/>
    <w:pitch w:val="default"/>
    <w:sig w:usb0="00000287" w:usb1="080F0000" w:usb2="00000000" w:usb3="00000000" w:csb0="0004009F" w:csb1="DFD70000"/>
    <w:embedRegular r:id="rId1" w:fontKey="{4F410FC2-64B7-4096-AE9F-2EC23AF91EB1}"/>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38E50F">
    <w:pPr>
      <w:pStyle w:val="3"/>
      <w:rPr>
        <w:rFonts w:hint="default" w:ascii="华文仿宋" w:hAnsi="华文仿宋" w:eastAsia="华文仿宋" w:cs="华文仿宋"/>
        <w:sz w:val="24"/>
        <w:szCs w:val="24"/>
        <w:u w:val="single"/>
        <w:lang w:val="en-US" w:eastAsia="zh-CN"/>
      </w:rPr>
    </w:pPr>
    <w:r>
      <w:rPr>
        <w:rFonts w:hint="eastAsia" w:ascii="华文仿宋" w:hAnsi="华文仿宋" w:eastAsia="华文仿宋" w:cs="华文仿宋"/>
        <w:sz w:val="24"/>
        <w:szCs w:val="24"/>
        <w:u w:val="single"/>
        <w:lang w:val="en-US" w:eastAsia="zh-CN"/>
      </w:rPr>
      <w:t xml:space="preserve">万佳标准认证（湖北）有限公司                                      </w:t>
    </w:r>
    <w:r>
      <w:rPr>
        <w:rFonts w:hint="eastAsia" w:ascii="华文仿宋" w:hAnsi="华文仿宋" w:eastAsia="华文仿宋" w:cs="华文仿宋"/>
        <w:sz w:val="24"/>
        <w:szCs w:val="24"/>
        <w:u w:val="single"/>
      </w:rPr>
      <w:t>认证申请书附录</w:t>
    </w:r>
    <w:r>
      <w:rPr>
        <w:rFonts w:hint="eastAsia" w:ascii="华文仿宋" w:hAnsi="华文仿宋" w:eastAsia="华文仿宋" w:cs="华文仿宋"/>
        <w:sz w:val="24"/>
        <w:szCs w:val="24"/>
        <w:u w:val="single"/>
        <w:lang w:val="en-US" w:eastAsia="zh-CN"/>
      </w:rPr>
      <w:t xml:space="preserve">7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A2F678B"/>
    <w:multiLevelType w:val="multilevel"/>
    <w:tmpl w:val="3A2F678B"/>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E424D11"/>
    <w:rsid w:val="20862C3C"/>
    <w:rsid w:val="2DF049B4"/>
    <w:rsid w:val="38216D41"/>
    <w:rsid w:val="6CEA7B42"/>
    <w:rsid w:val="6D2B63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360" w:lineRule="auto"/>
      <w:jc w:val="both"/>
    </w:pPr>
    <w:rPr>
      <w:rFonts w:hint="default" w:ascii="Calibri" w:hAnsi="Calibri" w:eastAsia="宋体" w:cs="Times New Roman"/>
      <w:kern w:val="2"/>
      <w:sz w:val="24"/>
      <w:szCs w:val="3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List Paragraph"/>
    <w:basedOn w:val="1"/>
    <w:qFormat/>
    <w:uiPriority w:val="0"/>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913</Words>
  <Characters>924</Characters>
  <Lines>0</Lines>
  <Paragraphs>0</Paragraphs>
  <TotalTime>2</TotalTime>
  <ScaleCrop>false</ScaleCrop>
  <LinksUpToDate>false</LinksUpToDate>
  <CharactersWithSpaces>962</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2025-11-03T08:06:00Z</dcterms:created>
  <dc:creator>50608</dc:creator>
  <cp:lastModifiedBy>黄儒敬</cp:lastModifiedBy>
  <dcterms:modified xsi:type="dcterms:W3CDTF">2025-11-07T03:02:41Z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eyJoZGlkIjoiNTc1MDU5YjdiYjM0MGQyNmI4NDQ3NThiNzA4NDBiNDAiLCJ1c2VySWQiOiIyNDE5MjU5NTgifQ==</vt:lpwstr>
  </property>
  <property fmtid="{D5CDD505-2E9C-101B-9397-08002B2CF9AE}" pid="4" name="ICV">
    <vt:lpwstr>B926B516B5F04E18B8998BFC66AB1400_12</vt:lpwstr>
  </property>
</Properties>
</file>